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黑体" w:hAnsi="黑体" w:eastAsia="黑体"/>
          <w:sz w:val="32"/>
          <w:szCs w:val="32"/>
        </w:rPr>
      </w:pPr>
      <w:r>
        <w:rPr>
          <w:rFonts w:hint="eastAsia" w:ascii="黑体" w:hAnsi="黑体" w:eastAsia="黑体"/>
          <w:sz w:val="32"/>
          <w:szCs w:val="32"/>
        </w:rPr>
        <w:t>一、基本情况</w:t>
      </w:r>
    </w:p>
    <w:p w14:paraId="083BA3EE">
      <w:pPr>
        <w:spacing w:line="360" w:lineRule="auto"/>
        <w:ind w:firstLine="705" w:firstLineChars="252"/>
        <w:rPr>
          <w:rFonts w:hint="eastAsia" w:ascii="仿宋" w:hAnsi="仿宋" w:eastAsia="仿宋"/>
          <w:sz w:val="28"/>
          <w:szCs w:val="24"/>
        </w:rPr>
      </w:pPr>
      <w:bookmarkStart w:id="0" w:name="_Hlk89712118"/>
      <w:r>
        <w:rPr>
          <w:rFonts w:hint="eastAsia" w:ascii="仿宋" w:hAnsi="仿宋" w:eastAsia="仿宋"/>
          <w:sz w:val="28"/>
          <w:szCs w:val="24"/>
          <w:u w:val="single"/>
        </w:rPr>
        <w:t>中山市力信科技发展有限公司系列5户</w:t>
      </w:r>
      <w:r>
        <w:rPr>
          <w:rFonts w:ascii="仿宋" w:hAnsi="仿宋" w:eastAsia="仿宋"/>
          <w:sz w:val="28"/>
          <w:szCs w:val="24"/>
          <w:u w:val="single"/>
        </w:rPr>
        <w:t>（下称“标的债权”），</w:t>
      </w:r>
      <w:r>
        <w:rPr>
          <w:rFonts w:hint="eastAsia" w:ascii="仿宋" w:hAnsi="仿宋" w:eastAsia="仿宋"/>
          <w:sz w:val="28"/>
          <w:szCs w:val="24"/>
        </w:rPr>
        <w:t>截至基准日2025年8月2</w:t>
      </w:r>
      <w:r>
        <w:rPr>
          <w:rFonts w:hint="eastAsia" w:ascii="仿宋" w:hAnsi="仿宋" w:eastAsia="仿宋"/>
          <w:sz w:val="28"/>
          <w:szCs w:val="24"/>
          <w:lang w:val="en-US" w:eastAsia="zh-CN"/>
        </w:rPr>
        <w:t>9</w:t>
      </w:r>
      <w:r>
        <w:rPr>
          <w:rFonts w:hint="eastAsia" w:ascii="仿宋" w:hAnsi="仿宋" w:eastAsia="仿宋"/>
          <w:sz w:val="28"/>
          <w:szCs w:val="24"/>
        </w:rPr>
        <w:t>日</w:t>
      </w:r>
      <w:r>
        <w:rPr>
          <w:rFonts w:ascii="仿宋" w:hAnsi="仿宋" w:eastAsia="仿宋"/>
          <w:sz w:val="28"/>
          <w:szCs w:val="24"/>
        </w:rPr>
        <w:t>，</w:t>
      </w:r>
      <w:r>
        <w:rPr>
          <w:rFonts w:hint="eastAsia" w:ascii="仿宋" w:hAnsi="仿宋" w:eastAsia="仿宋"/>
          <w:sz w:val="28"/>
          <w:szCs w:val="24"/>
        </w:rPr>
        <w:t>标的债权本金合计39,756.98万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12"/>
        <w:tblW w:w="63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1282"/>
        <w:gridCol w:w="818"/>
        <w:gridCol w:w="736"/>
        <w:gridCol w:w="709"/>
        <w:gridCol w:w="928"/>
        <w:gridCol w:w="4146"/>
        <w:gridCol w:w="1417"/>
        <w:gridCol w:w="764"/>
      </w:tblGrid>
      <w:tr w14:paraId="6B2CD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14" w:hRule="atLeast"/>
          <w:tblHeader/>
          <w:jc w:val="center"/>
        </w:trPr>
        <w:tc>
          <w:tcPr>
            <w:tcW w:w="1282" w:type="dxa"/>
            <w:shd w:val="clear" w:color="auto" w:fill="FFFFFF"/>
            <w:vAlign w:val="center"/>
          </w:tcPr>
          <w:p w14:paraId="43BB6CDC">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借款人名称</w:t>
            </w:r>
          </w:p>
        </w:tc>
        <w:tc>
          <w:tcPr>
            <w:tcW w:w="818" w:type="dxa"/>
            <w:tcBorders>
              <w:bottom w:val="single" w:color="auto" w:sz="4" w:space="0"/>
            </w:tcBorders>
            <w:shd w:val="clear" w:color="auto" w:fill="FFFFFF"/>
            <w:vAlign w:val="center"/>
          </w:tcPr>
          <w:p w14:paraId="084C1A21">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本金</w:t>
            </w:r>
          </w:p>
        </w:tc>
        <w:tc>
          <w:tcPr>
            <w:tcW w:w="736" w:type="dxa"/>
            <w:tcBorders>
              <w:bottom w:val="single" w:color="auto" w:sz="4" w:space="0"/>
            </w:tcBorders>
            <w:shd w:val="clear" w:color="auto" w:fill="FFFFFF"/>
            <w:vAlign w:val="center"/>
          </w:tcPr>
          <w:p w14:paraId="6A930E2C">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利息</w:t>
            </w:r>
          </w:p>
        </w:tc>
        <w:tc>
          <w:tcPr>
            <w:tcW w:w="709" w:type="dxa"/>
            <w:tcBorders>
              <w:bottom w:val="single" w:color="auto" w:sz="4" w:space="0"/>
            </w:tcBorders>
            <w:shd w:val="clear" w:color="auto" w:fill="FFFFFF"/>
            <w:vAlign w:val="center"/>
          </w:tcPr>
          <w:p w14:paraId="39C53ADA">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其他费用</w:t>
            </w:r>
          </w:p>
        </w:tc>
        <w:tc>
          <w:tcPr>
            <w:tcW w:w="928" w:type="dxa"/>
            <w:tcBorders>
              <w:bottom w:val="single" w:color="auto" w:sz="4" w:space="0"/>
            </w:tcBorders>
            <w:shd w:val="clear" w:color="auto" w:fill="FFFFFF"/>
            <w:vAlign w:val="center"/>
          </w:tcPr>
          <w:p w14:paraId="286158EC">
            <w:pPr>
              <w:widowControl/>
              <w:jc w:val="center"/>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债权</w:t>
            </w:r>
          </w:p>
          <w:p w14:paraId="38940CCD">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金额</w:t>
            </w:r>
          </w:p>
        </w:tc>
        <w:tc>
          <w:tcPr>
            <w:tcW w:w="4146" w:type="dxa"/>
            <w:shd w:val="clear" w:color="auto" w:fill="FFFFFF"/>
            <w:vAlign w:val="center"/>
          </w:tcPr>
          <w:p w14:paraId="277FCFC8">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抵质押物情况</w:t>
            </w:r>
          </w:p>
        </w:tc>
        <w:tc>
          <w:tcPr>
            <w:tcW w:w="1417" w:type="dxa"/>
            <w:shd w:val="clear" w:color="auto" w:fill="FFFFFF"/>
            <w:vAlign w:val="center"/>
          </w:tcPr>
          <w:p w14:paraId="6D530618">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保证人</w:t>
            </w:r>
          </w:p>
        </w:tc>
        <w:tc>
          <w:tcPr>
            <w:tcW w:w="764" w:type="dxa"/>
            <w:shd w:val="clear" w:color="auto" w:fill="FFFFFF"/>
            <w:vAlign w:val="center"/>
          </w:tcPr>
          <w:p w14:paraId="7E06EFDC">
            <w:pPr>
              <w:widowControl/>
              <w:jc w:val="center"/>
              <w:rPr>
                <w:rFonts w:hint="eastAsia" w:ascii="仿宋" w:hAnsi="仿宋" w:eastAsia="仿宋" w:cs="Times New Roman"/>
                <w:b/>
                <w:szCs w:val="21"/>
              </w:rPr>
            </w:pPr>
            <w:r>
              <w:rPr>
                <w:rFonts w:hint="eastAsia" w:ascii="仿宋" w:hAnsi="仿宋" w:eastAsia="仿宋" w:cs="仿宋"/>
                <w:b/>
                <w:bCs/>
                <w:sz w:val="21"/>
                <w:szCs w:val="21"/>
                <w:highlight w:val="none"/>
              </w:rPr>
              <w:t>诉讼情况</w:t>
            </w:r>
          </w:p>
        </w:tc>
      </w:tr>
      <w:tr w14:paraId="6CEE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282" w:type="dxa"/>
            <w:shd w:val="clear" w:color="auto" w:fill="FFFFFF"/>
            <w:vAlign w:val="center"/>
          </w:tcPr>
          <w:p w14:paraId="31457344">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中山市力信科技发展有限公司</w:t>
            </w:r>
          </w:p>
        </w:tc>
        <w:tc>
          <w:tcPr>
            <w:tcW w:w="818" w:type="dxa"/>
            <w:tcBorders>
              <w:top w:val="single" w:color="auto" w:sz="4" w:space="0"/>
              <w:left w:val="nil"/>
              <w:bottom w:val="single" w:color="auto" w:sz="4" w:space="0"/>
              <w:right w:val="single" w:color="auto" w:sz="4" w:space="0"/>
            </w:tcBorders>
            <w:shd w:val="clear" w:color="auto" w:fill="auto"/>
            <w:vAlign w:val="center"/>
          </w:tcPr>
          <w:p w14:paraId="5063C70D">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6,179.18 </w:t>
            </w:r>
          </w:p>
        </w:tc>
        <w:tc>
          <w:tcPr>
            <w:tcW w:w="736" w:type="dxa"/>
            <w:tcBorders>
              <w:top w:val="single" w:color="auto" w:sz="4" w:space="0"/>
              <w:left w:val="single" w:color="auto" w:sz="4" w:space="0"/>
              <w:bottom w:val="single" w:color="auto" w:sz="4" w:space="0"/>
              <w:right w:val="single" w:color="auto" w:sz="4" w:space="0"/>
            </w:tcBorders>
            <w:shd w:val="clear" w:color="auto" w:fill="auto"/>
            <w:vAlign w:val="center"/>
          </w:tcPr>
          <w:p w14:paraId="1ED82547">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2,309.80 </w:t>
            </w:r>
          </w:p>
        </w:tc>
        <w:tc>
          <w:tcPr>
            <w:tcW w:w="709" w:type="dxa"/>
            <w:tcBorders>
              <w:top w:val="single" w:color="auto" w:sz="4" w:space="0"/>
              <w:left w:val="single" w:color="auto" w:sz="4" w:space="0"/>
              <w:bottom w:val="single" w:color="auto" w:sz="4" w:space="0"/>
              <w:right w:val="nil"/>
            </w:tcBorders>
            <w:shd w:val="clear" w:color="auto" w:fill="auto"/>
            <w:vAlign w:val="center"/>
          </w:tcPr>
          <w:p w14:paraId="651AC951">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38.93 </w:t>
            </w:r>
          </w:p>
        </w:tc>
        <w:tc>
          <w:tcPr>
            <w:tcW w:w="928" w:type="dxa"/>
            <w:tcBorders>
              <w:top w:val="single" w:color="auto" w:sz="4" w:space="0"/>
              <w:left w:val="single" w:color="auto" w:sz="4" w:space="0"/>
              <w:bottom w:val="single" w:color="auto" w:sz="4" w:space="0"/>
              <w:right w:val="nil"/>
            </w:tcBorders>
            <w:shd w:val="clear" w:color="auto" w:fill="auto"/>
            <w:vAlign w:val="center"/>
          </w:tcPr>
          <w:p w14:paraId="447B9AF4">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8,527.92 </w:t>
            </w:r>
          </w:p>
        </w:tc>
        <w:tc>
          <w:tcPr>
            <w:tcW w:w="4146" w:type="dxa"/>
            <w:tcBorders>
              <w:top w:val="single" w:color="auto" w:sz="4" w:space="0"/>
              <w:left w:val="single" w:color="auto" w:sz="4" w:space="0"/>
              <w:bottom w:val="single" w:color="auto" w:sz="4" w:space="0"/>
              <w:right w:val="single" w:color="auto" w:sz="4" w:space="0"/>
            </w:tcBorders>
            <w:shd w:val="clear" w:color="auto" w:fill="auto"/>
            <w:vAlign w:val="center"/>
          </w:tcPr>
          <w:p w14:paraId="3BB7B193">
            <w:pPr>
              <w:widowControl/>
              <w:numPr>
                <w:ilvl w:val="255"/>
                <w:numId w:val="0"/>
              </w:numPr>
              <w:ind w:left="0" w:leftChars="0" w:firstLine="0" w:firstLineChars="0"/>
              <w:rPr>
                <w:rFonts w:hint="eastAsia" w:ascii="仿宋" w:hAnsi="仿宋" w:eastAsia="仿宋" w:cs="Times New Roman"/>
                <w:szCs w:val="21"/>
              </w:rPr>
            </w:pPr>
            <w:r>
              <w:rPr>
                <w:rFonts w:hint="eastAsia" w:ascii="仿宋" w:hAnsi="仿宋" w:eastAsia="仿宋" w:cs="仿宋"/>
                <w:sz w:val="21"/>
                <w:szCs w:val="21"/>
                <w:highlight w:val="none"/>
              </w:rPr>
              <w:t>中山市力信科技发展有限公司名下位于中山市东升镇葵兴大道的两处房屋及相应土地使用权</w:t>
            </w:r>
            <w:r>
              <w:rPr>
                <w:rFonts w:hint="eastAsia" w:ascii="仿宋" w:hAnsi="仿宋" w:eastAsia="仿宋" w:cs="仿宋"/>
                <w:sz w:val="21"/>
                <w:szCs w:val="21"/>
                <w:highlight w:val="none"/>
                <w:lang w:val="en-US" w:eastAsia="zh-CN"/>
              </w:rPr>
              <w:t>.</w:t>
            </w:r>
          </w:p>
        </w:tc>
        <w:tc>
          <w:tcPr>
            <w:tcW w:w="1417" w:type="dxa"/>
            <w:tcBorders>
              <w:top w:val="single" w:color="auto" w:sz="4" w:space="0"/>
              <w:left w:val="nil"/>
              <w:bottom w:val="single" w:color="auto" w:sz="4" w:space="0"/>
              <w:right w:val="single" w:color="auto" w:sz="4" w:space="0"/>
            </w:tcBorders>
            <w:shd w:val="clear" w:color="auto" w:fill="auto"/>
            <w:vAlign w:val="center"/>
          </w:tcPr>
          <w:p w14:paraId="11242926">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中山市中网通信科技发展有限公司、刘锦超、李强军、高文立</w:t>
            </w:r>
          </w:p>
        </w:tc>
        <w:tc>
          <w:tcPr>
            <w:tcW w:w="764" w:type="dxa"/>
            <w:tcBorders>
              <w:top w:val="single" w:color="auto" w:sz="4" w:space="0"/>
              <w:left w:val="nil"/>
              <w:bottom w:val="single" w:color="auto" w:sz="4" w:space="0"/>
              <w:right w:val="single" w:color="auto" w:sz="4" w:space="0"/>
            </w:tcBorders>
            <w:shd w:val="clear" w:color="auto" w:fill="auto"/>
            <w:vAlign w:val="center"/>
          </w:tcPr>
          <w:p w14:paraId="334B5AFE">
            <w:pPr>
              <w:widowControl/>
              <w:jc w:val="left"/>
              <w:rPr>
                <w:rFonts w:hint="eastAsia" w:ascii="仿宋" w:hAnsi="仿宋" w:eastAsia="仿宋" w:cs="Times New Roman"/>
                <w:szCs w:val="21"/>
              </w:rPr>
            </w:pPr>
            <w:r>
              <w:rPr>
                <w:rFonts w:hint="eastAsia" w:ascii="仿宋" w:hAnsi="仿宋" w:eastAsia="仿宋" w:cs="仿宋"/>
                <w:sz w:val="21"/>
                <w:szCs w:val="21"/>
                <w:highlight w:val="none"/>
              </w:rPr>
              <w:t>破产阶段</w:t>
            </w:r>
          </w:p>
        </w:tc>
      </w:tr>
      <w:tr w14:paraId="064E6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282" w:type="dxa"/>
            <w:shd w:val="clear" w:color="auto" w:fill="FFFFFF"/>
            <w:vAlign w:val="center"/>
          </w:tcPr>
          <w:p w14:paraId="1BC6D7F9">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中山市力度软件开发有限公司</w:t>
            </w:r>
          </w:p>
        </w:tc>
        <w:tc>
          <w:tcPr>
            <w:tcW w:w="818" w:type="dxa"/>
            <w:tcBorders>
              <w:top w:val="single" w:color="auto" w:sz="4" w:space="0"/>
              <w:left w:val="nil"/>
              <w:bottom w:val="single" w:color="auto" w:sz="4" w:space="0"/>
              <w:right w:val="single" w:color="auto" w:sz="4" w:space="0"/>
            </w:tcBorders>
            <w:shd w:val="clear" w:color="auto" w:fill="auto"/>
            <w:vAlign w:val="center"/>
          </w:tcPr>
          <w:p w14:paraId="71D26F16">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7,057.83 </w:t>
            </w:r>
          </w:p>
        </w:tc>
        <w:tc>
          <w:tcPr>
            <w:tcW w:w="736" w:type="dxa"/>
            <w:tcBorders>
              <w:top w:val="single" w:color="auto" w:sz="4" w:space="0"/>
              <w:left w:val="single" w:color="auto" w:sz="4" w:space="0"/>
              <w:bottom w:val="single" w:color="auto" w:sz="4" w:space="0"/>
              <w:right w:val="single" w:color="auto" w:sz="4" w:space="0"/>
            </w:tcBorders>
            <w:shd w:val="clear" w:color="auto" w:fill="auto"/>
            <w:vAlign w:val="center"/>
          </w:tcPr>
          <w:p w14:paraId="094D6ECD">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2,816.98 </w:t>
            </w:r>
          </w:p>
        </w:tc>
        <w:tc>
          <w:tcPr>
            <w:tcW w:w="709" w:type="dxa"/>
            <w:tcBorders>
              <w:top w:val="single" w:color="auto" w:sz="4" w:space="0"/>
              <w:left w:val="single" w:color="auto" w:sz="4" w:space="0"/>
              <w:bottom w:val="single" w:color="auto" w:sz="4" w:space="0"/>
              <w:right w:val="nil"/>
            </w:tcBorders>
            <w:shd w:val="clear" w:color="auto" w:fill="auto"/>
            <w:vAlign w:val="center"/>
          </w:tcPr>
          <w:p w14:paraId="66F22A11">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45.43 </w:t>
            </w:r>
          </w:p>
        </w:tc>
        <w:tc>
          <w:tcPr>
            <w:tcW w:w="928" w:type="dxa"/>
            <w:tcBorders>
              <w:top w:val="single" w:color="auto" w:sz="4" w:space="0"/>
              <w:left w:val="single" w:color="auto" w:sz="4" w:space="0"/>
              <w:bottom w:val="single" w:color="auto" w:sz="4" w:space="0"/>
              <w:right w:val="nil"/>
            </w:tcBorders>
            <w:shd w:val="clear" w:color="auto" w:fill="auto"/>
            <w:vAlign w:val="center"/>
          </w:tcPr>
          <w:p w14:paraId="4E9CE8FE">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9,920.24 </w:t>
            </w:r>
          </w:p>
        </w:tc>
        <w:tc>
          <w:tcPr>
            <w:tcW w:w="4146" w:type="dxa"/>
            <w:tcBorders>
              <w:top w:val="single" w:color="auto" w:sz="4" w:space="0"/>
              <w:left w:val="single" w:color="auto" w:sz="4" w:space="0"/>
              <w:bottom w:val="single" w:color="auto" w:sz="4" w:space="0"/>
              <w:right w:val="single" w:color="auto" w:sz="4" w:space="0"/>
            </w:tcBorders>
            <w:shd w:val="clear" w:color="auto" w:fill="auto"/>
            <w:vAlign w:val="center"/>
          </w:tcPr>
          <w:p w14:paraId="48015C40">
            <w:pPr>
              <w:widowControl/>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1、中山市星际数码游乐设备研发有限公司名下位于中山市东升镇为民路30号（旧址：坦背管理区“连盛围”）；</w:t>
            </w:r>
          </w:p>
          <w:p w14:paraId="78BBC67A">
            <w:pPr>
              <w:widowControl/>
              <w:jc w:val="left"/>
              <w:rPr>
                <w:rFonts w:hint="eastAsia" w:ascii="仿宋" w:hAnsi="仿宋" w:eastAsia="仿宋" w:cs="Times New Roman"/>
                <w:szCs w:val="21"/>
              </w:rPr>
            </w:pPr>
            <w:r>
              <w:rPr>
                <w:rFonts w:hint="eastAsia" w:ascii="仿宋" w:hAnsi="仿宋" w:eastAsia="仿宋" w:cs="仿宋"/>
                <w:sz w:val="21"/>
                <w:szCs w:val="21"/>
                <w:highlight w:val="none"/>
              </w:rPr>
              <w:t>2、中山市星际数码游乐设备研发有限公司名下位于中山市东升镇为民路30号房地产</w:t>
            </w:r>
            <w:r>
              <w:rPr>
                <w:rFonts w:hint="eastAsia" w:ascii="仿宋" w:hAnsi="仿宋" w:eastAsia="仿宋" w:cs="仿宋"/>
                <w:sz w:val="21"/>
                <w:szCs w:val="21"/>
                <w:highlight w:val="none"/>
                <w:lang w:eastAsia="zh-CN"/>
              </w:rPr>
              <w:t>。</w:t>
            </w:r>
          </w:p>
        </w:tc>
        <w:tc>
          <w:tcPr>
            <w:tcW w:w="1417" w:type="dxa"/>
            <w:tcBorders>
              <w:top w:val="single" w:color="auto" w:sz="4" w:space="0"/>
              <w:left w:val="nil"/>
              <w:bottom w:val="single" w:color="auto" w:sz="4" w:space="0"/>
              <w:right w:val="single" w:color="auto" w:sz="4" w:space="0"/>
            </w:tcBorders>
            <w:shd w:val="clear" w:color="auto" w:fill="auto"/>
            <w:vAlign w:val="center"/>
          </w:tcPr>
          <w:p w14:paraId="226F1AEE">
            <w:pPr>
              <w:widowControl/>
              <w:jc w:val="left"/>
              <w:rPr>
                <w:rFonts w:hint="eastAsia" w:ascii="仿宋" w:hAnsi="仿宋" w:eastAsia="仿宋" w:cs="Times New Roman"/>
                <w:szCs w:val="21"/>
              </w:rPr>
            </w:pPr>
            <w:r>
              <w:rPr>
                <w:rFonts w:hint="eastAsia" w:ascii="仿宋" w:hAnsi="仿宋" w:eastAsia="仿宋" w:cs="仿宋"/>
                <w:sz w:val="21"/>
                <w:szCs w:val="21"/>
                <w:highlight w:val="none"/>
              </w:rPr>
              <w:t>李强军、李承钊、中山市星际数码游乐设备研发有限公司公司</w:t>
            </w:r>
          </w:p>
        </w:tc>
        <w:tc>
          <w:tcPr>
            <w:tcW w:w="764" w:type="dxa"/>
            <w:tcBorders>
              <w:top w:val="single" w:color="auto" w:sz="4" w:space="0"/>
              <w:left w:val="nil"/>
              <w:bottom w:val="single" w:color="auto" w:sz="4" w:space="0"/>
              <w:right w:val="single" w:color="auto" w:sz="4" w:space="0"/>
            </w:tcBorders>
            <w:shd w:val="clear" w:color="auto" w:fill="auto"/>
            <w:vAlign w:val="center"/>
          </w:tcPr>
          <w:p w14:paraId="05A1F91D">
            <w:pPr>
              <w:widowControl/>
              <w:jc w:val="left"/>
              <w:rPr>
                <w:rFonts w:hint="eastAsia" w:ascii="仿宋" w:hAnsi="仿宋" w:eastAsia="仿宋" w:cs="Times New Roman"/>
                <w:szCs w:val="21"/>
              </w:rPr>
            </w:pPr>
            <w:r>
              <w:rPr>
                <w:rFonts w:hint="eastAsia" w:ascii="仿宋" w:hAnsi="仿宋" w:eastAsia="仿宋" w:cs="仿宋"/>
                <w:sz w:val="21"/>
                <w:szCs w:val="21"/>
                <w:highlight w:val="none"/>
              </w:rPr>
              <w:t>破产阶段</w:t>
            </w:r>
          </w:p>
        </w:tc>
      </w:tr>
      <w:tr w14:paraId="47421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282" w:type="dxa"/>
            <w:shd w:val="clear" w:color="auto" w:fill="FFFFFF"/>
            <w:vAlign w:val="center"/>
          </w:tcPr>
          <w:p w14:paraId="47D90C09">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中山市中网通信科技发展有限公司</w:t>
            </w:r>
          </w:p>
        </w:tc>
        <w:tc>
          <w:tcPr>
            <w:tcW w:w="818" w:type="dxa"/>
            <w:tcBorders>
              <w:top w:val="single" w:color="auto" w:sz="4" w:space="0"/>
              <w:left w:val="nil"/>
              <w:bottom w:val="single" w:color="auto" w:sz="4" w:space="0"/>
              <w:right w:val="single" w:color="auto" w:sz="4" w:space="0"/>
            </w:tcBorders>
            <w:shd w:val="clear" w:color="auto" w:fill="auto"/>
            <w:vAlign w:val="center"/>
          </w:tcPr>
          <w:p w14:paraId="0E913CA2">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11,725.32 </w:t>
            </w:r>
          </w:p>
        </w:tc>
        <w:tc>
          <w:tcPr>
            <w:tcW w:w="736" w:type="dxa"/>
            <w:tcBorders>
              <w:top w:val="single" w:color="auto" w:sz="4" w:space="0"/>
              <w:left w:val="single" w:color="auto" w:sz="4" w:space="0"/>
              <w:bottom w:val="single" w:color="auto" w:sz="4" w:space="0"/>
              <w:right w:val="single" w:color="auto" w:sz="4" w:space="0"/>
            </w:tcBorders>
            <w:shd w:val="clear" w:color="auto" w:fill="auto"/>
            <w:vAlign w:val="center"/>
          </w:tcPr>
          <w:p w14:paraId="68154549">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20,628.98 </w:t>
            </w:r>
          </w:p>
        </w:tc>
        <w:tc>
          <w:tcPr>
            <w:tcW w:w="709" w:type="dxa"/>
            <w:tcBorders>
              <w:top w:val="single" w:color="auto" w:sz="4" w:space="0"/>
              <w:left w:val="single" w:color="auto" w:sz="4" w:space="0"/>
              <w:bottom w:val="single" w:color="auto" w:sz="4" w:space="0"/>
              <w:right w:val="nil"/>
            </w:tcBorders>
            <w:shd w:val="clear" w:color="auto" w:fill="auto"/>
            <w:vAlign w:val="center"/>
          </w:tcPr>
          <w:p w14:paraId="4F586D5E">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71.05 </w:t>
            </w:r>
          </w:p>
        </w:tc>
        <w:tc>
          <w:tcPr>
            <w:tcW w:w="928" w:type="dxa"/>
            <w:tcBorders>
              <w:top w:val="single" w:color="auto" w:sz="4" w:space="0"/>
              <w:left w:val="single" w:color="auto" w:sz="4" w:space="0"/>
              <w:bottom w:val="single" w:color="auto" w:sz="4" w:space="0"/>
              <w:right w:val="nil"/>
            </w:tcBorders>
            <w:shd w:val="clear" w:color="auto" w:fill="auto"/>
            <w:vAlign w:val="center"/>
          </w:tcPr>
          <w:p w14:paraId="511D9210">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32,425.35 </w:t>
            </w:r>
          </w:p>
        </w:tc>
        <w:tc>
          <w:tcPr>
            <w:tcW w:w="4146" w:type="dxa"/>
            <w:tcBorders>
              <w:top w:val="single" w:color="auto" w:sz="4" w:space="0"/>
              <w:left w:val="single" w:color="auto" w:sz="4" w:space="0"/>
              <w:bottom w:val="single" w:color="auto" w:sz="4" w:space="0"/>
              <w:right w:val="single" w:color="auto" w:sz="4" w:space="0"/>
            </w:tcBorders>
            <w:shd w:val="clear" w:color="auto" w:fill="auto"/>
            <w:vAlign w:val="center"/>
          </w:tcPr>
          <w:p w14:paraId="3F4ED918">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中山市星际数码游乐设备研发有限公司名下位于中山市东升镇坦背村“大连盛围”房地产</w:t>
            </w:r>
            <w:r>
              <w:rPr>
                <w:rFonts w:hint="eastAsia" w:ascii="仿宋" w:hAnsi="仿宋" w:eastAsia="仿宋" w:cs="仿宋"/>
                <w:sz w:val="21"/>
                <w:szCs w:val="21"/>
                <w:highlight w:val="none"/>
                <w:lang w:eastAsia="zh-CN"/>
              </w:rPr>
              <w:t>。</w:t>
            </w:r>
          </w:p>
        </w:tc>
        <w:tc>
          <w:tcPr>
            <w:tcW w:w="1417" w:type="dxa"/>
            <w:tcBorders>
              <w:top w:val="single" w:color="auto" w:sz="4" w:space="0"/>
              <w:left w:val="nil"/>
              <w:bottom w:val="single" w:color="auto" w:sz="4" w:space="0"/>
              <w:right w:val="single" w:color="auto" w:sz="4" w:space="0"/>
            </w:tcBorders>
            <w:shd w:val="clear" w:color="auto" w:fill="auto"/>
            <w:vAlign w:val="center"/>
          </w:tcPr>
          <w:p w14:paraId="6186D623">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中山市力信科技发展有限公司、李强军、李承钊</w:t>
            </w:r>
          </w:p>
        </w:tc>
        <w:tc>
          <w:tcPr>
            <w:tcW w:w="764" w:type="dxa"/>
            <w:tcBorders>
              <w:top w:val="single" w:color="auto" w:sz="4" w:space="0"/>
              <w:left w:val="nil"/>
              <w:bottom w:val="single" w:color="auto" w:sz="4" w:space="0"/>
              <w:right w:val="single" w:color="auto" w:sz="4" w:space="0"/>
            </w:tcBorders>
            <w:shd w:val="clear" w:color="auto" w:fill="auto"/>
            <w:vAlign w:val="center"/>
          </w:tcPr>
          <w:p w14:paraId="419668CC">
            <w:pPr>
              <w:widowControl/>
              <w:jc w:val="left"/>
              <w:rPr>
                <w:rFonts w:hint="eastAsia" w:ascii="仿宋" w:hAnsi="仿宋" w:eastAsia="仿宋" w:cs="Times New Roman"/>
                <w:szCs w:val="21"/>
              </w:rPr>
            </w:pPr>
            <w:r>
              <w:rPr>
                <w:rFonts w:hint="eastAsia" w:ascii="仿宋" w:hAnsi="仿宋" w:eastAsia="仿宋" w:cs="仿宋"/>
                <w:sz w:val="21"/>
                <w:szCs w:val="21"/>
                <w:highlight w:val="none"/>
              </w:rPr>
              <w:t>执行阶段</w:t>
            </w:r>
          </w:p>
        </w:tc>
      </w:tr>
      <w:tr w14:paraId="5FD9B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282" w:type="dxa"/>
            <w:shd w:val="clear" w:color="auto" w:fill="FFFFFF"/>
            <w:vAlign w:val="center"/>
          </w:tcPr>
          <w:p w14:paraId="6B372B9D">
            <w:pPr>
              <w:widowControl/>
              <w:jc w:val="left"/>
              <w:rPr>
                <w:rFonts w:hint="eastAsia" w:ascii="仿宋" w:hAnsi="仿宋" w:eastAsia="仿宋" w:cs="Times New Roman"/>
                <w:szCs w:val="21"/>
              </w:rPr>
            </w:pPr>
            <w:r>
              <w:rPr>
                <w:rFonts w:hint="eastAsia" w:ascii="仿宋" w:hAnsi="仿宋" w:eastAsia="仿宋" w:cs="仿宋"/>
                <w:sz w:val="21"/>
                <w:szCs w:val="21"/>
                <w:highlight w:val="none"/>
              </w:rPr>
              <w:t>广东力邦实业有限公司</w:t>
            </w:r>
          </w:p>
        </w:tc>
        <w:tc>
          <w:tcPr>
            <w:tcW w:w="818" w:type="dxa"/>
            <w:tcBorders>
              <w:top w:val="single" w:color="auto" w:sz="4" w:space="0"/>
              <w:left w:val="nil"/>
              <w:bottom w:val="single" w:color="auto" w:sz="4" w:space="0"/>
              <w:right w:val="single" w:color="auto" w:sz="4" w:space="0"/>
            </w:tcBorders>
            <w:shd w:val="clear" w:color="auto" w:fill="auto"/>
            <w:vAlign w:val="center"/>
          </w:tcPr>
          <w:p w14:paraId="1FC2D53F">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8,662.77 </w:t>
            </w:r>
          </w:p>
        </w:tc>
        <w:tc>
          <w:tcPr>
            <w:tcW w:w="736" w:type="dxa"/>
            <w:tcBorders>
              <w:top w:val="single" w:color="auto" w:sz="4" w:space="0"/>
              <w:left w:val="single" w:color="auto" w:sz="4" w:space="0"/>
              <w:bottom w:val="single" w:color="auto" w:sz="4" w:space="0"/>
              <w:right w:val="single" w:color="auto" w:sz="4" w:space="0"/>
            </w:tcBorders>
            <w:shd w:val="clear" w:color="auto" w:fill="auto"/>
            <w:vAlign w:val="center"/>
          </w:tcPr>
          <w:p w14:paraId="493BF442">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15,236.88 </w:t>
            </w:r>
          </w:p>
        </w:tc>
        <w:tc>
          <w:tcPr>
            <w:tcW w:w="709" w:type="dxa"/>
            <w:tcBorders>
              <w:top w:val="single" w:color="auto" w:sz="4" w:space="0"/>
              <w:left w:val="single" w:color="auto" w:sz="4" w:space="0"/>
              <w:bottom w:val="single" w:color="auto" w:sz="4" w:space="0"/>
              <w:right w:val="nil"/>
            </w:tcBorders>
            <w:shd w:val="clear" w:color="auto" w:fill="auto"/>
            <w:vAlign w:val="center"/>
          </w:tcPr>
          <w:p w14:paraId="46859DF7">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54.22 </w:t>
            </w:r>
          </w:p>
        </w:tc>
        <w:tc>
          <w:tcPr>
            <w:tcW w:w="928" w:type="dxa"/>
            <w:tcBorders>
              <w:top w:val="single" w:color="auto" w:sz="4" w:space="0"/>
              <w:left w:val="single" w:color="auto" w:sz="4" w:space="0"/>
              <w:bottom w:val="single" w:color="auto" w:sz="4" w:space="0"/>
              <w:right w:val="nil"/>
            </w:tcBorders>
            <w:shd w:val="clear" w:color="auto" w:fill="auto"/>
            <w:vAlign w:val="center"/>
          </w:tcPr>
          <w:p w14:paraId="42376675">
            <w:pPr>
              <w:keepNext w:val="0"/>
              <w:keepLines w:val="0"/>
              <w:widowControl/>
              <w:numPr>
                <w:ilvl w:val="255"/>
                <w:numId w:val="0"/>
              </w:numPr>
              <w:suppressLineNumbers w:val="0"/>
              <w:jc w:val="left"/>
              <w:textAlignment w:val="auto"/>
              <w:rPr>
                <w:rFonts w:hint="eastAsia" w:ascii="仿宋" w:hAnsi="仿宋" w:eastAsia="仿宋" w:cs="仿宋"/>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23,953.87 </w:t>
            </w:r>
          </w:p>
        </w:tc>
        <w:tc>
          <w:tcPr>
            <w:tcW w:w="4146" w:type="dxa"/>
            <w:tcBorders>
              <w:top w:val="single" w:color="auto" w:sz="4" w:space="0"/>
              <w:left w:val="single" w:color="auto" w:sz="4" w:space="0"/>
              <w:bottom w:val="single" w:color="auto" w:sz="4" w:space="0"/>
              <w:right w:val="single" w:color="auto" w:sz="4" w:space="0"/>
            </w:tcBorders>
            <w:shd w:val="clear" w:color="auto" w:fill="auto"/>
            <w:vAlign w:val="center"/>
          </w:tcPr>
          <w:p w14:paraId="6D0EB513">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中山市鸿成商业有限公司名下位于中山市东升镇坦背村房地产。</w:t>
            </w:r>
          </w:p>
        </w:tc>
        <w:tc>
          <w:tcPr>
            <w:tcW w:w="1417" w:type="dxa"/>
            <w:tcBorders>
              <w:top w:val="single" w:color="auto" w:sz="4" w:space="0"/>
              <w:left w:val="nil"/>
              <w:bottom w:val="single" w:color="auto" w:sz="4" w:space="0"/>
              <w:right w:val="single" w:color="auto" w:sz="4" w:space="0"/>
            </w:tcBorders>
            <w:shd w:val="clear" w:color="auto" w:fill="auto"/>
            <w:vAlign w:val="center"/>
          </w:tcPr>
          <w:p w14:paraId="6ACB7ABF">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中山市力信科技发展有限公司、黄杰、李强军、陈宇</w:t>
            </w:r>
          </w:p>
        </w:tc>
        <w:tc>
          <w:tcPr>
            <w:tcW w:w="764" w:type="dxa"/>
            <w:tcBorders>
              <w:top w:val="single" w:color="auto" w:sz="4" w:space="0"/>
              <w:left w:val="nil"/>
              <w:bottom w:val="single" w:color="auto" w:sz="4" w:space="0"/>
              <w:right w:val="single" w:color="auto" w:sz="4" w:space="0"/>
            </w:tcBorders>
            <w:shd w:val="clear" w:color="auto" w:fill="auto"/>
            <w:vAlign w:val="center"/>
          </w:tcPr>
          <w:p w14:paraId="29306B0B">
            <w:pPr>
              <w:widowControl/>
              <w:jc w:val="left"/>
              <w:rPr>
                <w:rFonts w:hint="eastAsia" w:ascii="仿宋" w:hAnsi="仿宋" w:eastAsia="仿宋" w:cs="Times New Roman"/>
                <w:szCs w:val="21"/>
              </w:rPr>
            </w:pPr>
            <w:r>
              <w:rPr>
                <w:rFonts w:hint="eastAsia" w:ascii="仿宋" w:hAnsi="仿宋" w:eastAsia="仿宋" w:cs="仿宋"/>
                <w:sz w:val="21"/>
                <w:szCs w:val="21"/>
                <w:highlight w:val="none"/>
              </w:rPr>
              <w:t>执行阶段</w:t>
            </w:r>
          </w:p>
        </w:tc>
      </w:tr>
      <w:tr w14:paraId="734CC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4" w:hRule="atLeast"/>
          <w:jc w:val="center"/>
        </w:trPr>
        <w:tc>
          <w:tcPr>
            <w:tcW w:w="1282" w:type="dxa"/>
            <w:shd w:val="clear" w:color="auto" w:fill="FFFFFF"/>
            <w:vAlign w:val="center"/>
          </w:tcPr>
          <w:p w14:paraId="2E91C1CE">
            <w:pPr>
              <w:widowControl/>
              <w:jc w:val="left"/>
              <w:rPr>
                <w:rFonts w:hint="eastAsia" w:ascii="仿宋" w:hAnsi="仿宋" w:eastAsia="仿宋" w:cs="仿宋"/>
                <w:sz w:val="21"/>
                <w:szCs w:val="21"/>
                <w:highlight w:val="none"/>
              </w:rPr>
            </w:pPr>
            <w:r>
              <w:rPr>
                <w:rFonts w:hint="eastAsia" w:ascii="仿宋" w:hAnsi="仿宋" w:eastAsia="仿宋" w:cs="仿宋"/>
                <w:sz w:val="21"/>
                <w:szCs w:val="21"/>
                <w:highlight w:val="none"/>
              </w:rPr>
              <w:t>中山市东凌通讯有限公司</w:t>
            </w:r>
          </w:p>
        </w:tc>
        <w:tc>
          <w:tcPr>
            <w:tcW w:w="818" w:type="dxa"/>
            <w:tcBorders>
              <w:top w:val="single" w:color="auto" w:sz="4" w:space="0"/>
              <w:left w:val="nil"/>
              <w:bottom w:val="single" w:color="auto" w:sz="4" w:space="0"/>
              <w:right w:val="single" w:color="auto" w:sz="4" w:space="0"/>
            </w:tcBorders>
            <w:shd w:val="clear" w:color="auto" w:fill="auto"/>
            <w:vAlign w:val="center"/>
          </w:tcPr>
          <w:p w14:paraId="34D4B4D5">
            <w:pPr>
              <w:keepNext w:val="0"/>
              <w:keepLines w:val="0"/>
              <w:widowControl/>
              <w:numPr>
                <w:ilvl w:val="255"/>
                <w:numId w:val="0"/>
              </w:numPr>
              <w:suppressLineNumbers w:val="0"/>
              <w:jc w:val="left"/>
              <w:textAlignment w:val="auto"/>
              <w:rPr>
                <w:rFonts w:hint="eastAsia" w:ascii="仿宋" w:hAnsi="仿宋" w:eastAsia="仿宋" w:cs="仿宋"/>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 xml:space="preserve">6,131.87 </w:t>
            </w:r>
          </w:p>
        </w:tc>
        <w:tc>
          <w:tcPr>
            <w:tcW w:w="736" w:type="dxa"/>
            <w:tcBorders>
              <w:top w:val="single" w:color="auto" w:sz="4" w:space="0"/>
              <w:left w:val="single" w:color="auto" w:sz="4" w:space="0"/>
              <w:bottom w:val="single" w:color="auto" w:sz="4" w:space="0"/>
              <w:right w:val="single" w:color="auto" w:sz="4" w:space="0"/>
            </w:tcBorders>
            <w:shd w:val="clear" w:color="auto" w:fill="auto"/>
            <w:vAlign w:val="center"/>
          </w:tcPr>
          <w:p w14:paraId="263A0C98">
            <w:pPr>
              <w:keepNext w:val="0"/>
              <w:keepLines w:val="0"/>
              <w:widowControl/>
              <w:numPr>
                <w:ilvl w:val="255"/>
                <w:numId w:val="0"/>
              </w:numPr>
              <w:suppressLineNumbers w:val="0"/>
              <w:jc w:val="left"/>
              <w:textAlignment w:val="auto"/>
              <w:rPr>
                <w:rFonts w:hint="eastAsia" w:ascii="仿宋" w:hAnsi="仿宋" w:eastAsia="仿宋" w:cs="仿宋"/>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 xml:space="preserve">10,786.74 </w:t>
            </w:r>
          </w:p>
        </w:tc>
        <w:tc>
          <w:tcPr>
            <w:tcW w:w="709" w:type="dxa"/>
            <w:tcBorders>
              <w:top w:val="single" w:color="auto" w:sz="4" w:space="0"/>
              <w:left w:val="single" w:color="auto" w:sz="4" w:space="0"/>
              <w:bottom w:val="single" w:color="auto" w:sz="4" w:space="0"/>
              <w:right w:val="nil"/>
            </w:tcBorders>
            <w:shd w:val="clear" w:color="auto" w:fill="auto"/>
            <w:vAlign w:val="center"/>
          </w:tcPr>
          <w:p w14:paraId="2A8EDFE3">
            <w:pPr>
              <w:keepNext w:val="0"/>
              <w:keepLines w:val="0"/>
              <w:widowControl/>
              <w:numPr>
                <w:ilvl w:val="255"/>
                <w:numId w:val="0"/>
              </w:numPr>
              <w:suppressLineNumbers w:val="0"/>
              <w:jc w:val="left"/>
              <w:textAlignment w:val="auto"/>
              <w:rPr>
                <w:rFonts w:hint="eastAsia" w:ascii="仿宋" w:hAnsi="仿宋" w:eastAsia="仿宋" w:cs="仿宋"/>
                <w:sz w:val="21"/>
                <w:szCs w:val="21"/>
                <w:highlight w:val="none"/>
                <w:lang w:val="en-US" w:eastAsia="zh-CN"/>
              </w:rPr>
            </w:pPr>
            <w:r>
              <w:rPr>
                <w:rFonts w:hint="eastAsia" w:ascii="仿宋" w:hAnsi="仿宋" w:eastAsia="仿宋" w:cs="仿宋"/>
                <w:i w:val="0"/>
                <w:iCs w:val="0"/>
                <w:color w:val="auto"/>
                <w:kern w:val="2"/>
                <w:sz w:val="21"/>
                <w:szCs w:val="21"/>
                <w:highlight w:val="none"/>
                <w:u w:val="none"/>
                <w:lang w:val="en-US" w:eastAsia="zh-CN" w:bidi="ar"/>
              </w:rPr>
              <w:t xml:space="preserve">40.34 </w:t>
            </w:r>
          </w:p>
        </w:tc>
        <w:tc>
          <w:tcPr>
            <w:tcW w:w="928" w:type="dxa"/>
            <w:tcBorders>
              <w:top w:val="single" w:color="auto" w:sz="4" w:space="0"/>
              <w:left w:val="single" w:color="auto" w:sz="4" w:space="0"/>
              <w:bottom w:val="single" w:color="auto" w:sz="4" w:space="0"/>
              <w:right w:val="nil"/>
            </w:tcBorders>
            <w:shd w:val="clear" w:color="auto" w:fill="auto"/>
            <w:vAlign w:val="center"/>
          </w:tcPr>
          <w:p w14:paraId="3F75AD8C">
            <w:pPr>
              <w:keepNext w:val="0"/>
              <w:keepLines w:val="0"/>
              <w:widowControl/>
              <w:numPr>
                <w:ilvl w:val="255"/>
                <w:numId w:val="0"/>
              </w:numPr>
              <w:suppressLineNumbers w:val="0"/>
              <w:jc w:val="left"/>
              <w:textAlignment w:val="auto"/>
              <w:rPr>
                <w:rFonts w:hint="eastAsia" w:ascii="仿宋" w:hAnsi="仿宋" w:eastAsia="仿宋" w:cs="仿宋"/>
                <w:bCs w:val="0"/>
                <w:kern w:val="2"/>
                <w:sz w:val="21"/>
                <w:szCs w:val="21"/>
                <w:highlight w:val="none"/>
                <w:lang w:eastAsia="zh-CN"/>
              </w:rPr>
            </w:pPr>
            <w:r>
              <w:rPr>
                <w:rFonts w:hint="eastAsia" w:ascii="仿宋" w:hAnsi="仿宋" w:eastAsia="仿宋" w:cs="仿宋"/>
                <w:i w:val="0"/>
                <w:iCs w:val="0"/>
                <w:color w:val="auto"/>
                <w:kern w:val="2"/>
                <w:sz w:val="21"/>
                <w:szCs w:val="21"/>
                <w:highlight w:val="none"/>
                <w:u w:val="none"/>
                <w:lang w:val="en-US" w:eastAsia="zh-CN" w:bidi="ar"/>
              </w:rPr>
              <w:t xml:space="preserve">16,958.95 </w:t>
            </w:r>
          </w:p>
        </w:tc>
        <w:tc>
          <w:tcPr>
            <w:tcW w:w="4146" w:type="dxa"/>
            <w:tcBorders>
              <w:top w:val="single" w:color="auto" w:sz="4" w:space="0"/>
              <w:left w:val="single" w:color="auto" w:sz="4" w:space="0"/>
              <w:bottom w:val="single" w:color="auto" w:sz="4" w:space="0"/>
              <w:right w:val="single" w:color="auto" w:sz="4" w:space="0"/>
            </w:tcBorders>
            <w:shd w:val="clear" w:color="auto" w:fill="auto"/>
            <w:vAlign w:val="center"/>
          </w:tcPr>
          <w:p w14:paraId="34AA8030">
            <w:pPr>
              <w:widowControl/>
              <w:jc w:val="left"/>
              <w:rPr>
                <w:rFonts w:hint="eastAsia" w:ascii="仿宋" w:hAnsi="仿宋" w:eastAsia="仿宋" w:cs="Times New Roman"/>
                <w:szCs w:val="21"/>
              </w:rPr>
            </w:pPr>
            <w:r>
              <w:rPr>
                <w:rFonts w:hint="eastAsia" w:ascii="仿宋" w:hAnsi="仿宋" w:eastAsia="仿宋" w:cs="仿宋"/>
                <w:sz w:val="21"/>
                <w:szCs w:val="21"/>
                <w:highlight w:val="none"/>
              </w:rPr>
              <w:t>上述力度、中网通信、力邦3户抵押物的二押</w:t>
            </w:r>
          </w:p>
        </w:tc>
        <w:tc>
          <w:tcPr>
            <w:tcW w:w="1417" w:type="dxa"/>
            <w:tcBorders>
              <w:top w:val="single" w:color="auto" w:sz="4" w:space="0"/>
              <w:left w:val="nil"/>
              <w:bottom w:val="single" w:color="auto" w:sz="4" w:space="0"/>
              <w:right w:val="single" w:color="auto" w:sz="4" w:space="0"/>
            </w:tcBorders>
            <w:shd w:val="clear" w:color="auto" w:fill="auto"/>
            <w:vAlign w:val="center"/>
          </w:tcPr>
          <w:p w14:paraId="6E9BA3D5">
            <w:pPr>
              <w:widowControl/>
              <w:jc w:val="left"/>
              <w:rPr>
                <w:rFonts w:hint="eastAsia" w:ascii="仿宋" w:hAnsi="仿宋" w:eastAsia="仿宋" w:cs="Times New Roman"/>
                <w:szCs w:val="21"/>
              </w:rPr>
            </w:pPr>
            <w:r>
              <w:rPr>
                <w:rFonts w:hint="eastAsia" w:ascii="仿宋" w:hAnsi="仿宋" w:eastAsia="仿宋" w:cs="仿宋"/>
                <w:sz w:val="21"/>
                <w:szCs w:val="21"/>
                <w:highlight w:val="none"/>
              </w:rPr>
              <w:t>中山市力信科技发展有限公司、李强军、柯锦辉、原少权</w:t>
            </w:r>
          </w:p>
        </w:tc>
        <w:tc>
          <w:tcPr>
            <w:tcW w:w="764" w:type="dxa"/>
            <w:tcBorders>
              <w:top w:val="single" w:color="auto" w:sz="4" w:space="0"/>
              <w:left w:val="nil"/>
              <w:bottom w:val="single" w:color="auto" w:sz="4" w:space="0"/>
              <w:right w:val="single" w:color="auto" w:sz="4" w:space="0"/>
            </w:tcBorders>
            <w:shd w:val="clear" w:color="auto" w:fill="auto"/>
            <w:vAlign w:val="center"/>
          </w:tcPr>
          <w:p w14:paraId="05C5899C">
            <w:pPr>
              <w:widowControl/>
              <w:jc w:val="left"/>
              <w:rPr>
                <w:rFonts w:hint="eastAsia" w:ascii="仿宋" w:hAnsi="仿宋" w:eastAsia="仿宋" w:cs="Times New Roman"/>
                <w:szCs w:val="21"/>
              </w:rPr>
            </w:pPr>
            <w:r>
              <w:rPr>
                <w:rFonts w:hint="eastAsia" w:ascii="仿宋" w:hAnsi="仿宋" w:eastAsia="仿宋" w:cs="仿宋"/>
                <w:sz w:val="21"/>
                <w:szCs w:val="21"/>
                <w:highlight w:val="none"/>
              </w:rPr>
              <w:t>执行阶段</w:t>
            </w:r>
          </w:p>
        </w:tc>
      </w:tr>
      <w:tr w14:paraId="2A88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2" w:type="dxa"/>
            <w:shd w:val="clear" w:color="auto" w:fill="FFFFFF"/>
            <w:vAlign w:val="center"/>
          </w:tcPr>
          <w:p w14:paraId="1C140F3C">
            <w:pPr>
              <w:widowControl/>
              <w:jc w:val="left"/>
              <w:rPr>
                <w:rFonts w:hint="eastAsia"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合计：</w:t>
            </w:r>
          </w:p>
        </w:tc>
        <w:tc>
          <w:tcPr>
            <w:tcW w:w="818" w:type="dxa"/>
            <w:tcBorders>
              <w:top w:val="single" w:color="auto" w:sz="4" w:space="0"/>
              <w:left w:val="nil"/>
              <w:bottom w:val="single" w:color="auto" w:sz="4" w:space="0"/>
              <w:right w:val="single" w:color="auto" w:sz="4" w:space="0"/>
            </w:tcBorders>
            <w:shd w:val="clear" w:color="auto" w:fill="auto"/>
            <w:vAlign w:val="center"/>
          </w:tcPr>
          <w:p w14:paraId="6436D02D">
            <w:pPr>
              <w:keepNext w:val="0"/>
              <w:keepLines w:val="0"/>
              <w:widowControl/>
              <w:numPr>
                <w:ilvl w:val="255"/>
                <w:numId w:val="0"/>
              </w:numPr>
              <w:suppressLineNumbers w:val="0"/>
              <w:jc w:val="left"/>
              <w:textAlignment w:val="auto"/>
              <w:rPr>
                <w:rFonts w:hint="eastAsia" w:ascii="仿宋" w:hAnsi="仿宋" w:eastAsia="仿宋" w:cs="仿宋"/>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39,756.98 </w:t>
            </w:r>
          </w:p>
        </w:tc>
        <w:tc>
          <w:tcPr>
            <w:tcW w:w="736" w:type="dxa"/>
            <w:tcBorders>
              <w:top w:val="single" w:color="auto" w:sz="4" w:space="0"/>
              <w:left w:val="single" w:color="auto" w:sz="4" w:space="0"/>
              <w:bottom w:val="single" w:color="auto" w:sz="4" w:space="0"/>
              <w:right w:val="single" w:color="auto" w:sz="4" w:space="0"/>
            </w:tcBorders>
            <w:shd w:val="clear" w:color="auto" w:fill="auto"/>
            <w:vAlign w:val="center"/>
          </w:tcPr>
          <w:p w14:paraId="29823618">
            <w:pPr>
              <w:keepNext w:val="0"/>
              <w:keepLines w:val="0"/>
              <w:widowControl/>
              <w:numPr>
                <w:ilvl w:val="255"/>
                <w:numId w:val="0"/>
              </w:numPr>
              <w:suppressLineNumbers w:val="0"/>
              <w:jc w:val="left"/>
              <w:textAlignment w:val="auto"/>
              <w:rPr>
                <w:rFonts w:hint="eastAsia" w:ascii="仿宋" w:hAnsi="仿宋" w:eastAsia="仿宋" w:cs="仿宋"/>
                <w:sz w:val="21"/>
                <w:szCs w:val="21"/>
                <w:highlight w:val="none"/>
                <w:lang w:eastAsia="zh-CN"/>
              </w:rPr>
            </w:pPr>
            <w:r>
              <w:rPr>
                <w:rFonts w:hint="eastAsia" w:ascii="仿宋" w:hAnsi="仿宋" w:eastAsia="仿宋" w:cs="仿宋"/>
                <w:i w:val="0"/>
                <w:iCs w:val="0"/>
                <w:color w:val="auto"/>
                <w:kern w:val="2"/>
                <w:sz w:val="21"/>
                <w:szCs w:val="21"/>
                <w:highlight w:val="none"/>
                <w:u w:val="none"/>
                <w:lang w:val="en-US" w:eastAsia="zh-CN" w:bidi="ar"/>
              </w:rPr>
              <w:t xml:space="preserve">51,779.39 </w:t>
            </w:r>
          </w:p>
        </w:tc>
        <w:tc>
          <w:tcPr>
            <w:tcW w:w="709" w:type="dxa"/>
            <w:tcBorders>
              <w:top w:val="single" w:color="auto" w:sz="4" w:space="0"/>
              <w:left w:val="single" w:color="auto" w:sz="4" w:space="0"/>
              <w:bottom w:val="single" w:color="auto" w:sz="4" w:space="0"/>
              <w:right w:val="nil"/>
            </w:tcBorders>
            <w:shd w:val="clear" w:color="auto" w:fill="auto"/>
            <w:vAlign w:val="center"/>
          </w:tcPr>
          <w:p w14:paraId="6E18A095">
            <w:pPr>
              <w:keepNext w:val="0"/>
              <w:keepLines w:val="0"/>
              <w:widowControl/>
              <w:numPr>
                <w:ilvl w:val="255"/>
                <w:numId w:val="0"/>
              </w:numPr>
              <w:suppressLineNumbers w:val="0"/>
              <w:jc w:val="left"/>
              <w:textAlignment w:val="auto"/>
              <w:rPr>
                <w:rFonts w:hint="eastAsia" w:ascii="仿宋" w:hAnsi="仿宋" w:eastAsia="仿宋" w:cs="仿宋"/>
                <w:sz w:val="21"/>
                <w:szCs w:val="21"/>
                <w:highlight w:val="none"/>
              </w:rPr>
            </w:pPr>
            <w:r>
              <w:rPr>
                <w:rFonts w:hint="eastAsia" w:ascii="仿宋" w:hAnsi="仿宋" w:eastAsia="仿宋" w:cs="仿宋"/>
                <w:i w:val="0"/>
                <w:iCs w:val="0"/>
                <w:color w:val="auto"/>
                <w:kern w:val="2"/>
                <w:sz w:val="21"/>
                <w:szCs w:val="21"/>
                <w:highlight w:val="none"/>
                <w:u w:val="none"/>
                <w:lang w:val="en-US" w:eastAsia="zh-CN" w:bidi="ar"/>
              </w:rPr>
              <w:t xml:space="preserve">249.96 </w:t>
            </w:r>
          </w:p>
        </w:tc>
        <w:tc>
          <w:tcPr>
            <w:tcW w:w="928" w:type="dxa"/>
            <w:tcBorders>
              <w:top w:val="single" w:color="auto" w:sz="4" w:space="0"/>
              <w:left w:val="single" w:color="auto" w:sz="4" w:space="0"/>
              <w:bottom w:val="single" w:color="auto" w:sz="4" w:space="0"/>
              <w:right w:val="nil"/>
            </w:tcBorders>
            <w:shd w:val="clear" w:color="auto" w:fill="auto"/>
            <w:vAlign w:val="center"/>
          </w:tcPr>
          <w:p w14:paraId="17D6DB3A">
            <w:pPr>
              <w:keepNext w:val="0"/>
              <w:keepLines w:val="0"/>
              <w:widowControl/>
              <w:numPr>
                <w:ilvl w:val="255"/>
                <w:numId w:val="0"/>
              </w:numPr>
              <w:suppressLineNumbers w:val="0"/>
              <w:jc w:val="left"/>
              <w:textAlignment w:val="auto"/>
              <w:rPr>
                <w:rFonts w:hint="eastAsia" w:ascii="仿宋" w:hAnsi="仿宋" w:eastAsia="仿宋" w:cs="仿宋"/>
                <w:sz w:val="21"/>
                <w:szCs w:val="21"/>
                <w:highlight w:val="none"/>
                <w:lang w:eastAsia="zh-CN"/>
              </w:rPr>
            </w:pPr>
            <w:r>
              <w:rPr>
                <w:rFonts w:hint="eastAsia" w:ascii="仿宋" w:hAnsi="仿宋" w:eastAsia="仿宋" w:cs="仿宋"/>
                <w:i w:val="0"/>
                <w:iCs w:val="0"/>
                <w:color w:val="auto"/>
                <w:kern w:val="2"/>
                <w:sz w:val="21"/>
                <w:szCs w:val="21"/>
                <w:highlight w:val="none"/>
                <w:u w:val="none"/>
                <w:lang w:val="en-US" w:eastAsia="zh-CN" w:bidi="ar"/>
              </w:rPr>
              <w:t xml:space="preserve">91,786.33 </w:t>
            </w:r>
          </w:p>
        </w:tc>
        <w:tc>
          <w:tcPr>
            <w:tcW w:w="4146" w:type="dxa"/>
            <w:tcBorders>
              <w:top w:val="single" w:color="auto" w:sz="4" w:space="0"/>
              <w:left w:val="single" w:color="auto" w:sz="4" w:space="0"/>
              <w:bottom w:val="single" w:color="auto" w:sz="4" w:space="0"/>
              <w:right w:val="single" w:color="auto" w:sz="4" w:space="0"/>
            </w:tcBorders>
            <w:shd w:val="clear" w:color="auto" w:fill="auto"/>
            <w:vAlign w:val="center"/>
          </w:tcPr>
          <w:p w14:paraId="073607B1">
            <w:pPr>
              <w:widowControl/>
              <w:jc w:val="left"/>
              <w:rPr>
                <w:rFonts w:hint="eastAsia" w:ascii="仿宋" w:hAnsi="仿宋" w:eastAsia="仿宋" w:cs="仿宋"/>
                <w:sz w:val="21"/>
                <w:szCs w:val="21"/>
                <w:highlight w:val="none"/>
              </w:rPr>
            </w:pPr>
          </w:p>
        </w:tc>
        <w:tc>
          <w:tcPr>
            <w:tcW w:w="1417" w:type="dxa"/>
            <w:tcBorders>
              <w:top w:val="single" w:color="auto" w:sz="4" w:space="0"/>
              <w:left w:val="nil"/>
              <w:bottom w:val="single" w:color="auto" w:sz="4" w:space="0"/>
              <w:right w:val="single" w:color="auto" w:sz="4" w:space="0"/>
            </w:tcBorders>
            <w:shd w:val="clear" w:color="auto" w:fill="auto"/>
            <w:vAlign w:val="center"/>
          </w:tcPr>
          <w:p w14:paraId="062FB22E">
            <w:pPr>
              <w:widowControl/>
              <w:jc w:val="left"/>
              <w:rPr>
                <w:rFonts w:hint="eastAsia" w:ascii="仿宋" w:hAnsi="仿宋" w:eastAsia="仿宋" w:cs="仿宋"/>
                <w:sz w:val="21"/>
                <w:szCs w:val="21"/>
                <w:highlight w:val="none"/>
              </w:rPr>
            </w:pPr>
          </w:p>
        </w:tc>
        <w:tc>
          <w:tcPr>
            <w:tcW w:w="764" w:type="dxa"/>
            <w:tcBorders>
              <w:top w:val="single" w:color="auto" w:sz="4" w:space="0"/>
              <w:left w:val="nil"/>
              <w:bottom w:val="single" w:color="auto" w:sz="4" w:space="0"/>
              <w:right w:val="single" w:color="auto" w:sz="4" w:space="0"/>
            </w:tcBorders>
            <w:shd w:val="clear" w:color="auto" w:fill="auto"/>
            <w:vAlign w:val="center"/>
          </w:tcPr>
          <w:p w14:paraId="59646504">
            <w:pPr>
              <w:widowControl/>
              <w:jc w:val="left"/>
              <w:rPr>
                <w:rFonts w:hint="eastAsia" w:ascii="仿宋" w:hAnsi="仿宋" w:eastAsia="仿宋" w:cs="仿宋"/>
                <w:sz w:val="21"/>
                <w:szCs w:val="21"/>
                <w:highlight w:val="none"/>
              </w:rPr>
            </w:pPr>
          </w:p>
        </w:tc>
      </w:tr>
    </w:tbl>
    <w:p w14:paraId="0EA117E3">
      <w:pPr>
        <w:spacing w:line="360" w:lineRule="auto"/>
        <w:ind w:firstLine="560" w:firstLineChars="200"/>
        <w:rPr>
          <w:rFonts w:hint="eastAsia" w:ascii="仿宋" w:hAnsi="仿宋" w:eastAsia="仿宋"/>
          <w:sz w:val="28"/>
          <w:szCs w:val="24"/>
        </w:rPr>
      </w:pPr>
    </w:p>
    <w:p w14:paraId="059793A6">
      <w:pPr>
        <w:rPr>
          <w:rFonts w:hint="eastAsia" w:ascii="黑体" w:hAnsi="黑体" w:eastAsia="黑体"/>
          <w:sz w:val="32"/>
          <w:szCs w:val="32"/>
        </w:rPr>
      </w:pPr>
      <w:r>
        <w:rPr>
          <w:rFonts w:hint="eastAsia" w:ascii="黑体" w:hAnsi="黑体" w:eastAsia="黑体"/>
          <w:sz w:val="32"/>
          <w:szCs w:val="32"/>
        </w:rPr>
        <w:t>二、资产介绍</w:t>
      </w:r>
    </w:p>
    <w:p w14:paraId="5B26E871">
      <w:pPr>
        <w:pStyle w:val="10"/>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上述债权具体情况如下：</w:t>
      </w:r>
    </w:p>
    <w:p w14:paraId="63EB9A8E">
      <w:pPr>
        <w:pStyle w:val="10"/>
        <w:widowControl/>
        <w:spacing w:line="360" w:lineRule="atLeast"/>
        <w:ind w:firstLine="560" w:firstLineChars="200"/>
        <w:rPr>
          <w:rFonts w:hint="eastAsia" w:ascii="仿宋_GB2312" w:hAnsi="仿宋" w:eastAsia="仿宋_GB2312" w:cs="仿宋"/>
          <w:bCs w:val="0"/>
          <w:color w:val="000000"/>
          <w:kern w:val="2"/>
          <w:sz w:val="28"/>
          <w:szCs w:val="28"/>
          <w:highlight w:val="none"/>
        </w:rPr>
      </w:pPr>
      <w:r>
        <w:rPr>
          <w:rFonts w:hint="eastAsia" w:ascii="仿宋_GB2312" w:hAnsi="仿宋" w:eastAsia="仿宋_GB2312" w:cs="仿宋"/>
          <w:b w:val="0"/>
          <w:bCs w:val="0"/>
          <w:color w:val="000000"/>
          <w:sz w:val="28"/>
          <w:szCs w:val="28"/>
        </w:rPr>
        <w:t>1．</w:t>
      </w:r>
      <w:r>
        <w:rPr>
          <w:rFonts w:hint="eastAsia" w:ascii="仿宋_GB2312" w:hAnsi="仿宋" w:eastAsia="仿宋_GB2312" w:cs="仿宋"/>
          <w:b w:val="0"/>
          <w:bCs w:val="0"/>
          <w:color w:val="000000"/>
          <w:sz w:val="28"/>
          <w:szCs w:val="28"/>
          <w:lang w:val="en-US" w:eastAsia="zh-CN"/>
        </w:rPr>
        <w:t>力信一户</w:t>
      </w:r>
      <w:r>
        <w:rPr>
          <w:rFonts w:hint="eastAsia" w:ascii="仿宋_GB2312" w:hAnsi="仿宋" w:eastAsia="仿宋_GB2312" w:cs="仿宋"/>
          <w:color w:val="000000"/>
          <w:sz w:val="28"/>
          <w:szCs w:val="28"/>
        </w:rPr>
        <w:t>抵押物</w:t>
      </w:r>
      <w:r>
        <w:rPr>
          <w:rFonts w:hint="eastAsia" w:ascii="仿宋_GB2312" w:hAnsi="仿宋" w:eastAsia="仿宋_GB2312" w:cs="仿宋"/>
          <w:bCs w:val="0"/>
          <w:color w:val="000000"/>
          <w:kern w:val="2"/>
          <w:sz w:val="28"/>
          <w:szCs w:val="28"/>
          <w:highlight w:val="none"/>
        </w:rPr>
        <w:t>为中山市东升镇葵兴大道的两宗房地产</w:t>
      </w:r>
      <w:r>
        <w:rPr>
          <w:rFonts w:hint="eastAsia" w:ascii="仿宋_GB2312" w:hAnsi="仿宋" w:eastAsia="仿宋_GB2312" w:cs="仿宋"/>
          <w:color w:val="000000"/>
          <w:sz w:val="28"/>
          <w:szCs w:val="28"/>
          <w:lang w:eastAsia="zh-CN"/>
        </w:rPr>
        <w:t>，</w:t>
      </w:r>
      <w:r>
        <w:rPr>
          <w:rFonts w:hint="eastAsia" w:ascii="仿宋_GB2312" w:hAnsi="仿宋" w:eastAsia="仿宋_GB2312" w:cs="仿宋"/>
          <w:bCs w:val="0"/>
          <w:color w:val="000000"/>
          <w:kern w:val="2"/>
          <w:sz w:val="28"/>
          <w:szCs w:val="28"/>
          <w:lang w:val="en-US" w:eastAsia="zh-CN"/>
        </w:rPr>
        <w:t>名为</w:t>
      </w:r>
      <w:r>
        <w:rPr>
          <w:rFonts w:hint="eastAsia" w:ascii="仿宋_GB2312" w:hAnsi="仿宋" w:eastAsia="仿宋_GB2312" w:cs="仿宋"/>
          <w:bCs w:val="0"/>
          <w:color w:val="000000"/>
          <w:kern w:val="2"/>
          <w:sz w:val="28"/>
          <w:szCs w:val="28"/>
          <w:highlight w:val="none"/>
        </w:rPr>
        <w:t>力信科技城</w:t>
      </w:r>
      <w:r>
        <w:rPr>
          <w:rFonts w:hint="eastAsia" w:ascii="仿宋_GB2312" w:hAnsi="仿宋" w:eastAsia="仿宋_GB2312" w:cs="仿宋"/>
          <w:bCs w:val="0"/>
          <w:color w:val="000000"/>
          <w:kern w:val="2"/>
          <w:sz w:val="28"/>
          <w:szCs w:val="28"/>
          <w:highlight w:val="none"/>
          <w:lang w:eastAsia="zh-CN"/>
        </w:rPr>
        <w:t>，</w:t>
      </w:r>
      <w:r>
        <w:rPr>
          <w:rFonts w:hint="eastAsia" w:ascii="仿宋_GB2312" w:hAnsi="仿宋" w:eastAsia="仿宋_GB2312" w:cs="仿宋"/>
          <w:color w:val="000000"/>
          <w:sz w:val="28"/>
          <w:szCs w:val="28"/>
          <w:highlight w:val="none"/>
        </w:rPr>
        <w:t>土地面积【</w:t>
      </w:r>
      <w:r>
        <w:rPr>
          <w:rFonts w:hint="eastAsia" w:ascii="仿宋_GB2312" w:hAnsi="仿宋" w:eastAsia="仿宋_GB2312" w:cs="仿宋"/>
          <w:color w:val="000000"/>
          <w:sz w:val="28"/>
          <w:szCs w:val="28"/>
          <w:highlight w:val="none"/>
          <w:lang w:val="en-US" w:eastAsia="zh-CN"/>
        </w:rPr>
        <w:t>2,474.71</w:t>
      </w:r>
      <w:r>
        <w:rPr>
          <w:rFonts w:hint="eastAsia" w:ascii="仿宋_GB2312" w:hAnsi="仿宋" w:eastAsia="仿宋_GB2312" w:cs="仿宋"/>
          <w:color w:val="000000"/>
          <w:sz w:val="28"/>
          <w:szCs w:val="28"/>
          <w:highlight w:val="none"/>
        </w:rPr>
        <w:t>㎡】</w:t>
      </w:r>
      <w:r>
        <w:rPr>
          <w:rFonts w:hint="eastAsia" w:ascii="仿宋_GB2312" w:hAnsi="仿宋" w:eastAsia="仿宋_GB2312" w:cs="仿宋"/>
          <w:color w:val="000000"/>
          <w:sz w:val="28"/>
          <w:szCs w:val="28"/>
          <w:highlight w:val="none"/>
          <w:lang w:eastAsia="zh-CN"/>
        </w:rPr>
        <w:t>，</w:t>
      </w:r>
      <w:r>
        <w:rPr>
          <w:rFonts w:hint="eastAsia" w:ascii="仿宋_GB2312" w:hAnsi="仿宋" w:eastAsia="仿宋_GB2312" w:cs="仿宋"/>
          <w:color w:val="000000"/>
          <w:sz w:val="28"/>
          <w:szCs w:val="28"/>
          <w:highlight w:val="none"/>
          <w:lang w:val="en-US" w:eastAsia="zh-CN"/>
        </w:rPr>
        <w:t>建筑面积</w:t>
      </w:r>
      <w:r>
        <w:rPr>
          <w:rFonts w:hint="eastAsia" w:ascii="仿宋_GB2312" w:hAnsi="仿宋" w:eastAsia="仿宋_GB2312" w:cs="仿宋"/>
          <w:color w:val="000000"/>
          <w:sz w:val="28"/>
          <w:szCs w:val="28"/>
          <w:highlight w:val="none"/>
        </w:rPr>
        <w:t>【</w:t>
      </w:r>
      <w:r>
        <w:rPr>
          <w:rFonts w:hint="eastAsia" w:ascii="仿宋_GB2312" w:hAnsi="仿宋" w:eastAsia="仿宋_GB2312" w:cs="仿宋"/>
          <w:color w:val="000000"/>
          <w:sz w:val="28"/>
          <w:szCs w:val="28"/>
          <w:highlight w:val="none"/>
          <w:lang w:val="en-US" w:eastAsia="zh-CN"/>
        </w:rPr>
        <w:t>9,939.28</w:t>
      </w:r>
      <w:r>
        <w:rPr>
          <w:rFonts w:hint="eastAsia" w:ascii="仿宋_GB2312" w:hAnsi="仿宋" w:eastAsia="仿宋_GB2312" w:cs="仿宋"/>
          <w:color w:val="000000"/>
          <w:sz w:val="28"/>
          <w:szCs w:val="28"/>
          <w:highlight w:val="none"/>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用途为</w:t>
      </w:r>
      <w:r>
        <w:rPr>
          <w:rFonts w:hint="eastAsia" w:ascii="仿宋_GB2312" w:hAnsi="仿宋" w:eastAsia="仿宋_GB2312" w:cs="仿宋"/>
          <w:color w:val="000000"/>
          <w:sz w:val="28"/>
          <w:szCs w:val="28"/>
          <w:lang w:eastAsia="zh-CN"/>
        </w:rPr>
        <w:t>商业。</w:t>
      </w:r>
      <w:r>
        <w:rPr>
          <w:rFonts w:hint="eastAsia" w:ascii="仿宋_GB2312" w:hAnsi="仿宋" w:eastAsia="仿宋_GB2312" w:cs="仿宋"/>
          <w:bCs w:val="0"/>
          <w:color w:val="000000"/>
          <w:kern w:val="2"/>
          <w:sz w:val="28"/>
          <w:szCs w:val="28"/>
          <w:highlight w:val="none"/>
        </w:rPr>
        <w:t>抵押物为南北相邻</w:t>
      </w:r>
      <w:r>
        <w:rPr>
          <w:rFonts w:hint="eastAsia" w:ascii="仿宋_GB2312" w:hAnsi="仿宋" w:eastAsia="仿宋_GB2312" w:cs="仿宋"/>
          <w:bCs w:val="0"/>
          <w:color w:val="000000"/>
          <w:kern w:val="2"/>
          <w:sz w:val="28"/>
          <w:szCs w:val="28"/>
          <w:highlight w:val="none"/>
          <w:lang w:val="en-US" w:eastAsia="zh-CN"/>
        </w:rPr>
        <w:t>两宗房地产</w:t>
      </w:r>
      <w:r>
        <w:rPr>
          <w:rFonts w:hint="eastAsia" w:ascii="仿宋_GB2312" w:hAnsi="仿宋" w:eastAsia="仿宋_GB2312" w:cs="仿宋"/>
          <w:bCs w:val="0"/>
          <w:color w:val="000000"/>
          <w:kern w:val="2"/>
          <w:sz w:val="28"/>
          <w:szCs w:val="28"/>
          <w:highlight w:val="none"/>
        </w:rPr>
        <w:t>，北侧南侧东侧均为商业楼，西临葵兴大道，临近高架桥落口，交通较便捷，附近分布有怡安苑商住小区和自建商住楼，及万胜酒店、怡安苑综合市场、永成广场、中山农村商业银行等。</w:t>
      </w:r>
    </w:p>
    <w:p w14:paraId="7037DC19">
      <w:pPr>
        <w:spacing w:line="360" w:lineRule="auto"/>
        <w:ind w:firstLine="560" w:firstLineChars="200"/>
        <w:rPr>
          <w:rFonts w:hint="eastAsia" w:ascii="仿宋" w:hAnsi="仿宋" w:eastAsia="仿宋" w:cs="仿宋"/>
          <w:bCs/>
          <w:kern w:val="0"/>
          <w:sz w:val="32"/>
          <w:szCs w:val="32"/>
          <w:highlight w:val="none"/>
        </w:rPr>
      </w:pPr>
      <w:r>
        <w:rPr>
          <w:rFonts w:hint="eastAsia" w:ascii="仿宋_GB2312" w:hAnsi="仿宋" w:eastAsia="仿宋_GB2312" w:cs="仿宋"/>
          <w:color w:val="000000"/>
          <w:sz w:val="28"/>
          <w:szCs w:val="28"/>
          <w:highlight w:val="none"/>
          <w:lang w:val="en-US" w:eastAsia="zh-CN"/>
        </w:rPr>
        <w:t>2.</w:t>
      </w:r>
      <w:r>
        <w:rPr>
          <w:rFonts w:hint="eastAsia" w:ascii="仿宋_GB2312" w:hAnsi="仿宋" w:eastAsia="仿宋_GB2312" w:cs="仿宋"/>
          <w:color w:val="000000"/>
          <w:sz w:val="28"/>
          <w:szCs w:val="28"/>
          <w:lang w:val="en-US" w:eastAsia="zh-CN"/>
        </w:rPr>
        <w:t>力度一户抵押物为</w:t>
      </w:r>
      <w:r>
        <w:rPr>
          <w:rFonts w:hint="eastAsia" w:ascii="仿宋_GB2312" w:hAnsi="仿宋" w:eastAsia="仿宋_GB2312" w:cs="仿宋"/>
          <w:color w:val="000000"/>
          <w:sz w:val="28"/>
          <w:szCs w:val="28"/>
          <w:highlight w:val="none"/>
        </w:rPr>
        <w:t>中山市东升镇为民路30号</w:t>
      </w:r>
      <w:r>
        <w:rPr>
          <w:rFonts w:hint="eastAsia" w:ascii="仿宋_GB2312" w:hAnsi="仿宋" w:eastAsia="仿宋_GB2312" w:cs="仿宋"/>
          <w:color w:val="000000"/>
          <w:sz w:val="28"/>
          <w:szCs w:val="28"/>
          <w:lang w:val="en-US" w:eastAsia="zh-CN"/>
        </w:rPr>
        <w:t>2宗房地产，</w:t>
      </w:r>
      <w:r>
        <w:rPr>
          <w:rFonts w:hint="eastAsia" w:ascii="仿宋_GB2312" w:hAnsi="仿宋" w:eastAsia="仿宋_GB2312" w:cs="仿宋"/>
          <w:bCs w:val="0"/>
          <w:color w:val="000000"/>
          <w:kern w:val="2"/>
          <w:sz w:val="28"/>
          <w:szCs w:val="28"/>
          <w:lang w:val="en-US" w:eastAsia="zh-CN"/>
        </w:rPr>
        <w:t>名为万家欢乐城1、2号楼</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w:t>
      </w:r>
      <w:r>
        <w:rPr>
          <w:rFonts w:hint="eastAsia" w:ascii="仿宋_GB2312" w:hAnsi="仿宋" w:eastAsia="仿宋_GB2312" w:cs="仿宋"/>
          <w:color w:val="000000"/>
          <w:sz w:val="28"/>
          <w:szCs w:val="28"/>
          <w:lang w:val="en-US" w:eastAsia="zh-CN"/>
        </w:rPr>
        <w:t>合计</w:t>
      </w:r>
      <w:r>
        <w:rPr>
          <w:rFonts w:hint="eastAsia" w:ascii="仿宋_GB2312" w:hAnsi="仿宋" w:eastAsia="仿宋_GB2312" w:cs="仿宋"/>
          <w:color w:val="000000"/>
          <w:sz w:val="28"/>
          <w:szCs w:val="28"/>
        </w:rPr>
        <w:t>【</w:t>
      </w:r>
      <w:r>
        <w:rPr>
          <w:rFonts w:hint="eastAsia" w:ascii="仿宋_GB2312" w:hAnsi="仿宋" w:eastAsia="仿宋_GB2312" w:cs="仿宋"/>
          <w:bCs w:val="0"/>
          <w:color w:val="000000"/>
          <w:kern w:val="2"/>
          <w:sz w:val="28"/>
          <w:szCs w:val="28"/>
          <w:lang w:val="en-US" w:eastAsia="zh-CN"/>
        </w:rPr>
        <w:t>4,150.50</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w:t>
      </w:r>
      <w:r>
        <w:rPr>
          <w:rFonts w:hint="eastAsia" w:ascii="仿宋_GB2312" w:hAnsi="仿宋" w:eastAsia="仿宋_GB2312" w:cs="仿宋"/>
          <w:bCs w:val="0"/>
          <w:color w:val="000000"/>
          <w:kern w:val="2"/>
          <w:sz w:val="28"/>
          <w:szCs w:val="28"/>
          <w:lang w:val="en-US" w:eastAsia="zh-CN"/>
        </w:rPr>
        <w:t>7,729.6</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物业性质为</w:t>
      </w:r>
      <w:r>
        <w:rPr>
          <w:rFonts w:hint="eastAsia" w:ascii="仿宋_GB2312" w:hAnsi="仿宋" w:eastAsia="仿宋_GB2312" w:cs="仿宋"/>
          <w:bCs w:val="0"/>
          <w:color w:val="000000"/>
          <w:kern w:val="2"/>
          <w:sz w:val="28"/>
          <w:szCs w:val="28"/>
          <w:highlight w:val="none"/>
        </w:rPr>
        <w:t>商业、办公</w:t>
      </w:r>
      <w:r>
        <w:rPr>
          <w:rFonts w:hint="eastAsia" w:ascii="仿宋" w:hAnsi="仿宋" w:eastAsia="仿宋" w:cs="仿宋"/>
          <w:bCs/>
          <w:kern w:val="0"/>
          <w:sz w:val="32"/>
          <w:szCs w:val="32"/>
          <w:highlight w:val="none"/>
        </w:rPr>
        <w:t>。</w:t>
      </w:r>
      <w:r>
        <w:rPr>
          <w:rFonts w:hint="eastAsia" w:ascii="仿宋_GB2312" w:hAnsi="仿宋" w:eastAsia="仿宋_GB2312" w:cs="仿宋"/>
          <w:bCs w:val="0"/>
          <w:color w:val="000000"/>
          <w:kern w:val="2"/>
          <w:sz w:val="28"/>
          <w:szCs w:val="28"/>
          <w:lang w:val="en-US" w:eastAsia="zh-CN"/>
        </w:rPr>
        <w:t>地处小榄镇</w:t>
      </w:r>
      <w:r>
        <w:rPr>
          <w:rFonts w:hint="eastAsia" w:ascii="仿宋_GB2312" w:hAnsi="仿宋" w:eastAsia="仿宋_GB2312" w:cs="仿宋"/>
          <w:bCs w:val="0"/>
          <w:color w:val="000000"/>
          <w:kern w:val="2"/>
          <w:sz w:val="28"/>
          <w:szCs w:val="28"/>
        </w:rPr>
        <w:t>东升</w:t>
      </w:r>
      <w:r>
        <w:rPr>
          <w:rFonts w:hint="eastAsia" w:ascii="仿宋_GB2312" w:hAnsi="仿宋" w:eastAsia="仿宋_GB2312" w:cs="仿宋"/>
          <w:bCs w:val="0"/>
          <w:color w:val="000000"/>
          <w:kern w:val="2"/>
          <w:sz w:val="28"/>
          <w:szCs w:val="28"/>
          <w:lang w:val="en-US" w:eastAsia="zh-CN"/>
        </w:rPr>
        <w:t>区域</w:t>
      </w:r>
      <w:r>
        <w:rPr>
          <w:rFonts w:hint="eastAsia" w:ascii="仿宋_GB2312" w:hAnsi="仿宋" w:eastAsia="仿宋_GB2312" w:cs="仿宋"/>
          <w:bCs w:val="0"/>
          <w:color w:val="000000"/>
          <w:kern w:val="2"/>
          <w:sz w:val="28"/>
          <w:szCs w:val="28"/>
        </w:rPr>
        <w:t>的东南部，</w:t>
      </w:r>
      <w:r>
        <w:rPr>
          <w:rFonts w:hint="eastAsia" w:ascii="仿宋_GB2312" w:hAnsi="仿宋" w:eastAsia="仿宋_GB2312" w:cs="仿宋"/>
          <w:bCs w:val="0"/>
          <w:color w:val="000000"/>
          <w:kern w:val="2"/>
          <w:sz w:val="28"/>
          <w:szCs w:val="28"/>
          <w:lang w:val="en-US" w:eastAsia="zh-CN"/>
        </w:rPr>
        <w:t>距离小榄镇政府约13</w:t>
      </w:r>
      <w:r>
        <w:rPr>
          <w:rFonts w:hint="eastAsia" w:ascii="仿宋_GB2312" w:hAnsi="仿宋" w:eastAsia="仿宋_GB2312" w:cs="仿宋"/>
          <w:bCs w:val="0"/>
          <w:color w:val="000000"/>
          <w:kern w:val="2"/>
          <w:sz w:val="28"/>
          <w:szCs w:val="28"/>
        </w:rPr>
        <w:t>公里，</w:t>
      </w:r>
      <w:r>
        <w:rPr>
          <w:rFonts w:hint="eastAsia" w:ascii="仿宋_GB2312" w:hAnsi="仿宋" w:eastAsia="仿宋_GB2312" w:cs="仿宋"/>
          <w:bCs w:val="0"/>
          <w:color w:val="000000"/>
          <w:kern w:val="2"/>
          <w:sz w:val="28"/>
          <w:szCs w:val="28"/>
          <w:lang w:val="en-US" w:eastAsia="zh-CN"/>
        </w:rPr>
        <w:t>东临裕隆八路，交通相对便利；附近分布有茵华花园、银信花园等商住小区，还分布有中山农村商业银行、坦背市场、坦背小学、安嘉琪幼儿园，餐饮、百货、宾馆等。</w:t>
      </w:r>
    </w:p>
    <w:p w14:paraId="3D0C4833">
      <w:pPr>
        <w:widowControl/>
        <w:ind w:firstLine="640" w:firstLineChars="0"/>
        <w:rPr>
          <w:rFonts w:hint="eastAsia" w:ascii="仿宋_GB2312" w:hAnsi="仿宋" w:eastAsia="仿宋_GB2312" w:cs="仿宋"/>
          <w:bCs w:val="0"/>
          <w:color w:val="000000"/>
          <w:kern w:val="2"/>
          <w:sz w:val="28"/>
          <w:szCs w:val="28"/>
          <w:lang w:eastAsia="zh-CN"/>
        </w:rPr>
      </w:pPr>
      <w:r>
        <w:rPr>
          <w:rFonts w:hint="eastAsia" w:ascii="仿宋_GB2312" w:hAnsi="仿宋" w:eastAsia="仿宋_GB2312" w:cs="仿宋"/>
          <w:b w:val="0"/>
          <w:bCs w:val="0"/>
          <w:color w:val="000000"/>
          <w:sz w:val="28"/>
          <w:szCs w:val="28"/>
          <w:lang w:val="en-US" w:eastAsia="zh-CN"/>
        </w:rPr>
        <w:t>3.中网通一户</w:t>
      </w:r>
      <w:r>
        <w:rPr>
          <w:rFonts w:hint="eastAsia" w:ascii="仿宋_GB2312" w:hAnsi="仿宋" w:eastAsia="仿宋_GB2312" w:cs="仿宋"/>
          <w:bCs w:val="0"/>
          <w:color w:val="000000"/>
          <w:kern w:val="2"/>
          <w:sz w:val="28"/>
          <w:szCs w:val="28"/>
          <w:highlight w:val="none"/>
        </w:rPr>
        <w:t>抵押物</w:t>
      </w:r>
      <w:r>
        <w:rPr>
          <w:rFonts w:hint="eastAsia" w:ascii="仿宋_GB2312" w:hAnsi="仿宋" w:eastAsia="仿宋_GB2312" w:cs="仿宋"/>
          <w:bCs w:val="0"/>
          <w:color w:val="000000"/>
          <w:kern w:val="2"/>
          <w:sz w:val="28"/>
          <w:szCs w:val="28"/>
          <w:highlight w:val="none"/>
          <w:lang w:val="en-US" w:eastAsia="zh-CN"/>
        </w:rPr>
        <w:t>位于</w:t>
      </w:r>
      <w:r>
        <w:rPr>
          <w:rFonts w:hint="eastAsia" w:ascii="仿宋_GB2312" w:hAnsi="仿宋" w:eastAsia="仿宋_GB2312" w:cs="仿宋"/>
          <w:bCs w:val="0"/>
          <w:color w:val="000000"/>
          <w:kern w:val="2"/>
          <w:sz w:val="28"/>
          <w:szCs w:val="28"/>
          <w:highlight w:val="none"/>
        </w:rPr>
        <w:t>中山市东升镇坦背村“大连盛围”</w:t>
      </w:r>
      <w:r>
        <w:rPr>
          <w:rFonts w:hint="eastAsia" w:ascii="仿宋_GB2312" w:hAnsi="仿宋" w:eastAsia="仿宋_GB2312" w:cs="仿宋"/>
          <w:bCs w:val="0"/>
          <w:color w:val="000000"/>
          <w:kern w:val="2"/>
          <w:sz w:val="28"/>
          <w:szCs w:val="28"/>
          <w:lang w:val="en-US" w:eastAsia="zh-CN"/>
        </w:rPr>
        <w:t>房地产</w:t>
      </w:r>
      <w:r>
        <w:rPr>
          <w:rFonts w:hint="eastAsia" w:ascii="仿宋_GB2312" w:hAnsi="仿宋" w:eastAsia="仿宋_GB2312" w:cs="仿宋"/>
          <w:bCs w:val="0"/>
          <w:color w:val="000000"/>
          <w:kern w:val="2"/>
          <w:sz w:val="28"/>
          <w:szCs w:val="28"/>
          <w:highlight w:val="none"/>
        </w:rPr>
        <w:t>，</w:t>
      </w:r>
      <w:r>
        <w:rPr>
          <w:rFonts w:hint="eastAsia" w:ascii="仿宋_GB2312" w:hAnsi="仿宋" w:eastAsia="仿宋_GB2312" w:cs="仿宋"/>
          <w:bCs w:val="0"/>
          <w:color w:val="000000"/>
          <w:kern w:val="2"/>
          <w:sz w:val="28"/>
          <w:szCs w:val="28"/>
          <w:lang w:val="en-US" w:eastAsia="zh-CN"/>
        </w:rPr>
        <w:t>名为</w:t>
      </w:r>
      <w:r>
        <w:rPr>
          <w:rFonts w:hint="eastAsia" w:ascii="仿宋_GB2312" w:hAnsi="仿宋" w:eastAsia="仿宋_GB2312" w:cs="仿宋"/>
          <w:bCs w:val="0"/>
          <w:color w:val="000000"/>
          <w:kern w:val="2"/>
          <w:sz w:val="28"/>
          <w:szCs w:val="28"/>
        </w:rPr>
        <w:t>星海洲文化广场3号楼</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w:t>
      </w:r>
      <w:r>
        <w:rPr>
          <w:rFonts w:hint="eastAsia" w:ascii="仿宋_GB2312" w:hAnsi="仿宋" w:eastAsia="仿宋_GB2312" w:cs="仿宋"/>
          <w:bCs w:val="0"/>
          <w:color w:val="000000"/>
          <w:kern w:val="2"/>
          <w:sz w:val="28"/>
          <w:szCs w:val="28"/>
        </w:rPr>
        <w:t>4,785.00㎡</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w:t>
      </w:r>
      <w:r>
        <w:rPr>
          <w:rFonts w:hint="eastAsia" w:ascii="仿宋_GB2312" w:hAnsi="仿宋" w:eastAsia="仿宋_GB2312" w:cs="仿宋"/>
          <w:bCs w:val="0"/>
          <w:color w:val="000000"/>
          <w:kern w:val="2"/>
          <w:sz w:val="28"/>
          <w:szCs w:val="28"/>
        </w:rPr>
        <w:t>11,276.54㎡</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物业性质为</w:t>
      </w:r>
      <w:r>
        <w:rPr>
          <w:rFonts w:hint="eastAsia" w:ascii="仿宋_GB2312" w:hAnsi="仿宋" w:eastAsia="仿宋_GB2312" w:cs="仿宋"/>
          <w:bCs w:val="0"/>
          <w:color w:val="000000"/>
          <w:kern w:val="2"/>
          <w:sz w:val="28"/>
          <w:szCs w:val="28"/>
          <w:highlight w:val="none"/>
        </w:rPr>
        <w:t>商业</w:t>
      </w:r>
      <w:r>
        <w:rPr>
          <w:rFonts w:hint="eastAsia" w:ascii="仿宋_GB2312" w:hAnsi="仿宋" w:eastAsia="仿宋_GB2312" w:cs="仿宋"/>
          <w:color w:val="000000"/>
          <w:sz w:val="28"/>
          <w:szCs w:val="28"/>
          <w:lang w:eastAsia="zh-CN"/>
        </w:rPr>
        <w:t>。</w:t>
      </w:r>
      <w:r>
        <w:rPr>
          <w:rFonts w:hint="eastAsia" w:ascii="仿宋_GB2312" w:hAnsi="仿宋" w:eastAsia="仿宋_GB2312" w:cs="仿宋"/>
          <w:bCs w:val="0"/>
          <w:color w:val="000000"/>
          <w:kern w:val="2"/>
          <w:sz w:val="28"/>
          <w:szCs w:val="28"/>
          <w:lang w:val="en-US" w:eastAsia="zh-CN"/>
        </w:rPr>
        <w:t>地处小榄镇</w:t>
      </w:r>
      <w:r>
        <w:rPr>
          <w:rFonts w:hint="eastAsia" w:ascii="仿宋_GB2312" w:hAnsi="仿宋" w:eastAsia="仿宋_GB2312" w:cs="仿宋"/>
          <w:bCs w:val="0"/>
          <w:color w:val="000000"/>
          <w:kern w:val="2"/>
          <w:sz w:val="28"/>
          <w:szCs w:val="28"/>
        </w:rPr>
        <w:t>东升</w:t>
      </w:r>
      <w:r>
        <w:rPr>
          <w:rFonts w:hint="eastAsia" w:ascii="仿宋_GB2312" w:hAnsi="仿宋" w:eastAsia="仿宋_GB2312" w:cs="仿宋"/>
          <w:bCs w:val="0"/>
          <w:color w:val="000000"/>
          <w:kern w:val="2"/>
          <w:sz w:val="28"/>
          <w:szCs w:val="28"/>
          <w:lang w:val="en-US" w:eastAsia="zh-CN"/>
        </w:rPr>
        <w:t>区域</w:t>
      </w:r>
      <w:r>
        <w:rPr>
          <w:rFonts w:hint="eastAsia" w:ascii="仿宋_GB2312" w:hAnsi="仿宋" w:eastAsia="仿宋_GB2312" w:cs="仿宋"/>
          <w:bCs w:val="0"/>
          <w:color w:val="000000"/>
          <w:kern w:val="2"/>
          <w:sz w:val="28"/>
          <w:szCs w:val="28"/>
        </w:rPr>
        <w:t>的东南部，</w:t>
      </w:r>
      <w:r>
        <w:rPr>
          <w:rFonts w:hint="eastAsia" w:ascii="仿宋_GB2312" w:hAnsi="仿宋" w:eastAsia="仿宋_GB2312" w:cs="仿宋"/>
          <w:bCs w:val="0"/>
          <w:color w:val="000000"/>
          <w:kern w:val="2"/>
          <w:sz w:val="28"/>
          <w:szCs w:val="28"/>
          <w:lang w:val="en-US" w:eastAsia="zh-CN"/>
        </w:rPr>
        <w:t>距离小榄镇政府约13</w:t>
      </w:r>
      <w:r>
        <w:rPr>
          <w:rFonts w:hint="eastAsia" w:ascii="仿宋_GB2312" w:hAnsi="仿宋" w:eastAsia="仿宋_GB2312" w:cs="仿宋"/>
          <w:bCs w:val="0"/>
          <w:color w:val="000000"/>
          <w:kern w:val="2"/>
          <w:sz w:val="28"/>
          <w:szCs w:val="28"/>
        </w:rPr>
        <w:t>公里</w:t>
      </w:r>
      <w:r>
        <w:rPr>
          <w:rFonts w:hint="eastAsia" w:ascii="仿宋_GB2312" w:hAnsi="仿宋" w:eastAsia="仿宋_GB2312" w:cs="仿宋"/>
          <w:bCs w:val="0"/>
          <w:color w:val="000000"/>
          <w:kern w:val="2"/>
          <w:sz w:val="28"/>
          <w:szCs w:val="28"/>
          <w:highlight w:val="none"/>
        </w:rPr>
        <w:t>，</w:t>
      </w:r>
      <w:r>
        <w:rPr>
          <w:rFonts w:hint="eastAsia" w:ascii="仿宋_GB2312" w:hAnsi="仿宋" w:eastAsia="仿宋_GB2312" w:cs="仿宋"/>
          <w:bCs w:val="0"/>
          <w:color w:val="000000"/>
          <w:kern w:val="2"/>
          <w:sz w:val="28"/>
          <w:szCs w:val="28"/>
          <w:lang w:val="en-US" w:eastAsia="zh-CN"/>
        </w:rPr>
        <w:t>东临裕隆八路，交通相对便利；附近分布有茵华花园、银信花园等商住小区，还分布有中山农村商业银行、坦背市场、坦背小学、安嘉琪幼儿园，餐饮、百货、宾馆等</w:t>
      </w:r>
      <w:r>
        <w:rPr>
          <w:rFonts w:hint="eastAsia" w:ascii="仿宋_GB2312" w:hAnsi="仿宋" w:eastAsia="仿宋_GB2312" w:cs="仿宋"/>
          <w:bCs w:val="0"/>
          <w:color w:val="000000"/>
          <w:kern w:val="2"/>
          <w:sz w:val="28"/>
          <w:szCs w:val="28"/>
          <w:lang w:eastAsia="zh-CN"/>
        </w:rPr>
        <w:t>。</w:t>
      </w:r>
    </w:p>
    <w:p w14:paraId="245F2DD4">
      <w:pPr>
        <w:widowControl/>
        <w:ind w:firstLine="640" w:firstLineChars="0"/>
        <w:rPr>
          <w:rFonts w:hint="eastAsia" w:ascii="仿宋_GB2312" w:hAnsi="仿宋" w:eastAsia="仿宋_GB2312" w:cs="仿宋"/>
          <w:b w:val="0"/>
          <w:bCs w:val="0"/>
          <w:color w:val="000000"/>
          <w:sz w:val="28"/>
          <w:szCs w:val="28"/>
          <w:lang w:eastAsia="zh-CN"/>
        </w:rPr>
      </w:pPr>
      <w:r>
        <w:rPr>
          <w:rFonts w:hint="eastAsia" w:ascii="仿宋_GB2312" w:hAnsi="仿宋" w:eastAsia="仿宋_GB2312" w:cs="仿宋"/>
          <w:bCs w:val="0"/>
          <w:color w:val="000000"/>
          <w:kern w:val="2"/>
          <w:sz w:val="28"/>
          <w:szCs w:val="28"/>
          <w:lang w:val="en-US" w:eastAsia="zh-CN"/>
        </w:rPr>
        <w:t>4.力邦一户抵押物位于中山市东升镇坦背村房，名为万丰广场</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土地面积【6,666.7</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建筑面积【18,826.43</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物业性质为</w:t>
      </w:r>
      <w:r>
        <w:rPr>
          <w:rFonts w:hint="eastAsia" w:ascii="仿宋_GB2312" w:hAnsi="仿宋" w:eastAsia="仿宋_GB2312" w:cs="仿宋"/>
          <w:bCs w:val="0"/>
          <w:color w:val="000000"/>
          <w:kern w:val="2"/>
          <w:sz w:val="28"/>
          <w:szCs w:val="28"/>
          <w:highlight w:val="none"/>
        </w:rPr>
        <w:t>商业</w:t>
      </w:r>
      <w:r>
        <w:rPr>
          <w:rFonts w:hint="eastAsia" w:ascii="仿宋_GB2312" w:hAnsi="仿宋" w:eastAsia="仿宋_GB2312" w:cs="仿宋"/>
          <w:bCs w:val="0"/>
          <w:color w:val="000000"/>
          <w:kern w:val="2"/>
          <w:sz w:val="28"/>
          <w:szCs w:val="28"/>
          <w:highlight w:val="none"/>
          <w:lang w:eastAsia="zh-CN"/>
        </w:rPr>
        <w:t>。</w:t>
      </w:r>
      <w:r>
        <w:rPr>
          <w:rFonts w:hint="eastAsia" w:ascii="仿宋_GB2312" w:hAnsi="仿宋" w:eastAsia="仿宋_GB2312" w:cs="仿宋"/>
          <w:bCs w:val="0"/>
          <w:color w:val="000000"/>
          <w:kern w:val="2"/>
          <w:sz w:val="28"/>
          <w:szCs w:val="28"/>
          <w:lang w:val="en-US" w:eastAsia="zh-CN"/>
        </w:rPr>
        <w:t>地处小榄镇</w:t>
      </w:r>
      <w:r>
        <w:rPr>
          <w:rFonts w:hint="eastAsia" w:ascii="仿宋_GB2312" w:hAnsi="仿宋" w:eastAsia="仿宋_GB2312" w:cs="仿宋"/>
          <w:bCs w:val="0"/>
          <w:color w:val="000000"/>
          <w:kern w:val="2"/>
          <w:sz w:val="28"/>
          <w:szCs w:val="28"/>
        </w:rPr>
        <w:t>东升</w:t>
      </w:r>
      <w:r>
        <w:rPr>
          <w:rFonts w:hint="eastAsia" w:ascii="仿宋_GB2312" w:hAnsi="仿宋" w:eastAsia="仿宋_GB2312" w:cs="仿宋"/>
          <w:bCs w:val="0"/>
          <w:color w:val="000000"/>
          <w:kern w:val="2"/>
          <w:sz w:val="28"/>
          <w:szCs w:val="28"/>
          <w:lang w:val="en-US" w:eastAsia="zh-CN"/>
        </w:rPr>
        <w:t>区域</w:t>
      </w:r>
      <w:r>
        <w:rPr>
          <w:rFonts w:hint="eastAsia" w:ascii="仿宋_GB2312" w:hAnsi="仿宋" w:eastAsia="仿宋_GB2312" w:cs="仿宋"/>
          <w:bCs w:val="0"/>
          <w:color w:val="000000"/>
          <w:kern w:val="2"/>
          <w:sz w:val="28"/>
          <w:szCs w:val="28"/>
        </w:rPr>
        <w:t>的东南部，</w:t>
      </w:r>
      <w:r>
        <w:rPr>
          <w:rFonts w:hint="eastAsia" w:ascii="仿宋_GB2312" w:hAnsi="仿宋" w:eastAsia="仿宋_GB2312" w:cs="仿宋"/>
          <w:bCs w:val="0"/>
          <w:color w:val="000000"/>
          <w:kern w:val="2"/>
          <w:sz w:val="28"/>
          <w:szCs w:val="28"/>
          <w:lang w:val="en-US" w:eastAsia="zh-CN"/>
        </w:rPr>
        <w:t>距离小榄镇政府约13</w:t>
      </w:r>
      <w:r>
        <w:rPr>
          <w:rFonts w:hint="eastAsia" w:ascii="仿宋_GB2312" w:hAnsi="仿宋" w:eastAsia="仿宋_GB2312" w:cs="仿宋"/>
          <w:bCs w:val="0"/>
          <w:color w:val="000000"/>
          <w:kern w:val="2"/>
          <w:sz w:val="28"/>
          <w:szCs w:val="28"/>
        </w:rPr>
        <w:t>公里，</w:t>
      </w:r>
      <w:r>
        <w:rPr>
          <w:rFonts w:hint="eastAsia" w:ascii="仿宋_GB2312" w:hAnsi="仿宋" w:eastAsia="仿宋_GB2312" w:cs="仿宋"/>
          <w:bCs w:val="0"/>
          <w:color w:val="000000"/>
          <w:kern w:val="2"/>
          <w:sz w:val="28"/>
          <w:szCs w:val="28"/>
          <w:lang w:val="en-US" w:eastAsia="zh-CN"/>
        </w:rPr>
        <w:t>东临裕隆八路，交通相对便利；附近分布有茵华花园、银信花园等商住小区，还分布有中山农村商业银行、坦背市场、坦背小学、安嘉琪幼儿园，餐饮、百货、宾馆等。</w:t>
      </w:r>
    </w:p>
    <w:p w14:paraId="12B5296C">
      <w:pPr>
        <w:rPr>
          <w:rFonts w:ascii="仿宋" w:hAnsi="仿宋" w:eastAsia="仿宋" w:cs="Times New Roman"/>
          <w:bCs/>
          <w:kern w:val="0"/>
          <w:sz w:val="28"/>
          <w:szCs w:val="32"/>
        </w:rPr>
      </w:pPr>
    </w:p>
    <w:p w14:paraId="5B6DDFE9">
      <w:pPr>
        <w:pStyle w:val="10"/>
        <w:widowControl/>
        <w:spacing w:line="360" w:lineRule="atLeast"/>
        <w:ind w:firstLine="0" w:firstLineChars="0"/>
        <w:rPr>
          <w:rFonts w:ascii="黑体" w:hAnsi="黑体" w:eastAsia="黑体" w:cstheme="minorBidi"/>
          <w:sz w:val="32"/>
          <w:szCs w:val="32"/>
        </w:rPr>
      </w:pPr>
      <w:r>
        <w:rPr>
          <w:rFonts w:hint="eastAsia" w:ascii="黑体" w:hAnsi="黑体" w:eastAsia="黑体" w:cstheme="minorBidi"/>
          <w:sz w:val="32"/>
          <w:szCs w:val="32"/>
        </w:rPr>
        <w:t>三、主要抵押物及周边照片</w:t>
      </w:r>
    </w:p>
    <w:tbl>
      <w:tblPr>
        <w:tblStyle w:val="13"/>
        <w:tblW w:w="5453"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5"/>
        <w:gridCol w:w="4646"/>
      </w:tblGrid>
      <w:tr w14:paraId="3EB6D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38C02777">
            <w:pPr>
              <w:rPr>
                <w:rFonts w:ascii="仿宋" w:hAnsi="仿宋" w:eastAsia="仿宋" w:cs="Times New Roman"/>
                <w:kern w:val="0"/>
                <w:sz w:val="28"/>
                <w:szCs w:val="32"/>
              </w:rPr>
            </w:pPr>
            <w:r>
              <w:rPr>
                <w:rFonts w:hint="eastAsia" w:ascii="仿宋" w:hAnsi="仿宋" w:eastAsia="仿宋" w:cs="Times New Roman"/>
                <w:kern w:val="0"/>
                <w:sz w:val="28"/>
                <w:szCs w:val="32"/>
                <w:lang w:val="en-US" w:eastAsia="zh-CN"/>
              </w:rPr>
              <w:t>1、</w:t>
            </w:r>
            <w:r>
              <w:rPr>
                <w:rFonts w:hint="eastAsia" w:ascii="仿宋_GB2312" w:hAnsi="仿宋" w:eastAsia="仿宋_GB2312" w:cs="仿宋"/>
                <w:bCs w:val="0"/>
                <w:color w:val="000000"/>
                <w:kern w:val="2"/>
                <w:sz w:val="28"/>
                <w:szCs w:val="28"/>
              </w:rPr>
              <w:t>中山市东升镇葵兴大道的两宗房地产</w:t>
            </w:r>
            <w:r>
              <w:rPr>
                <w:rFonts w:hint="eastAsia" w:ascii="仿宋_GB2312" w:hAnsi="仿宋" w:eastAsia="仿宋_GB2312" w:cs="仿宋"/>
                <w:color w:val="000000"/>
                <w:sz w:val="28"/>
                <w:szCs w:val="28"/>
                <w:lang w:eastAsia="zh-CN"/>
              </w:rPr>
              <w:t>，</w:t>
            </w:r>
            <w:r>
              <w:rPr>
                <w:rFonts w:hint="eastAsia" w:ascii="仿宋_GB2312" w:hAnsi="仿宋_GB2312" w:eastAsia="仿宋_GB2312" w:cs="仿宋_GB2312"/>
                <w:sz w:val="28"/>
                <w:szCs w:val="28"/>
                <w:highlight w:val="none"/>
                <w:lang w:val="en-US" w:eastAsia="zh-CN"/>
              </w:rPr>
              <w:t>名为力信科技城，</w:t>
            </w:r>
            <w:r>
              <w:rPr>
                <w:rFonts w:hint="eastAsia" w:ascii="仿宋_GB2312" w:hAnsi="仿宋" w:eastAsia="仿宋_GB2312" w:cs="仿宋"/>
                <w:color w:val="000000"/>
                <w:sz w:val="28"/>
                <w:szCs w:val="28"/>
              </w:rPr>
              <w:t>土地面积【</w:t>
            </w:r>
            <w:r>
              <w:rPr>
                <w:rFonts w:hint="eastAsia" w:ascii="仿宋_GB2312" w:hAnsi="仿宋" w:eastAsia="仿宋_GB2312" w:cs="仿宋"/>
                <w:color w:val="000000"/>
                <w:sz w:val="28"/>
                <w:szCs w:val="28"/>
                <w:lang w:val="en-US" w:eastAsia="zh-CN"/>
              </w:rPr>
              <w:t>2,474.71</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val="en-US" w:eastAsia="zh-CN"/>
              </w:rPr>
              <w:t>9,939.28</w:t>
            </w:r>
            <w:r>
              <w:rPr>
                <w:rFonts w:hint="eastAsia" w:ascii="仿宋_GB2312" w:hAnsi="仿宋" w:eastAsia="仿宋_GB2312" w:cs="仿宋"/>
                <w:color w:val="000000"/>
                <w:sz w:val="28"/>
                <w:szCs w:val="28"/>
              </w:rPr>
              <w:t>㎡】</w:t>
            </w:r>
          </w:p>
        </w:tc>
      </w:tr>
      <w:tr w14:paraId="6475C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2" w:type="pct"/>
            <w:tcBorders>
              <w:top w:val="single" w:color="auto" w:sz="4" w:space="0"/>
              <w:left w:val="single" w:color="auto" w:sz="4" w:space="0"/>
              <w:bottom w:val="single" w:color="auto" w:sz="4" w:space="0"/>
              <w:right w:val="single" w:color="auto" w:sz="4" w:space="0"/>
            </w:tcBorders>
            <w:vAlign w:val="center"/>
          </w:tcPr>
          <w:p w14:paraId="1F31C5C6">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780030" cy="2070735"/>
                  <wp:effectExtent l="0" t="0" r="1270" b="5715"/>
                  <wp:docPr id="8" name="图片 8" descr="微信图片_20250414182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50414182852"/>
                          <pic:cNvPicPr>
                            <a:picLocks noChangeAspect="1"/>
                          </pic:cNvPicPr>
                        </pic:nvPicPr>
                        <pic:blipFill>
                          <a:blip r:embed="rId4"/>
                          <a:stretch>
                            <a:fillRect/>
                          </a:stretch>
                        </pic:blipFill>
                        <pic:spPr>
                          <a:xfrm>
                            <a:off x="0" y="0"/>
                            <a:ext cx="2780030" cy="2070735"/>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790190" cy="2268855"/>
                  <wp:effectExtent l="0" t="0" r="10160" b="17145"/>
                  <wp:docPr id="6" name="图片 6" descr="微信图片_20250423161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50423161352"/>
                          <pic:cNvPicPr>
                            <a:picLocks noChangeAspect="1"/>
                          </pic:cNvPicPr>
                        </pic:nvPicPr>
                        <pic:blipFill>
                          <a:blip r:embed="rId5"/>
                          <a:stretch>
                            <a:fillRect/>
                          </a:stretch>
                        </pic:blipFill>
                        <pic:spPr>
                          <a:xfrm>
                            <a:off x="0" y="0"/>
                            <a:ext cx="2790190" cy="2268855"/>
                          </a:xfrm>
                          <a:prstGeom prst="rect">
                            <a:avLst/>
                          </a:prstGeom>
                        </pic:spPr>
                      </pic:pic>
                    </a:graphicData>
                  </a:graphic>
                </wp:inline>
              </w:drawing>
            </w:r>
          </w:p>
        </w:tc>
        <w:tc>
          <w:tcPr>
            <w:tcW w:w="2497" w:type="pct"/>
            <w:tcBorders>
              <w:top w:val="single" w:color="auto" w:sz="4" w:space="0"/>
              <w:left w:val="single" w:color="auto" w:sz="4" w:space="0"/>
              <w:bottom w:val="single" w:color="auto" w:sz="4" w:space="0"/>
              <w:right w:val="single" w:color="auto" w:sz="4" w:space="0"/>
            </w:tcBorders>
            <w:vAlign w:val="center"/>
          </w:tcPr>
          <w:p w14:paraId="7B8CD289">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745740" cy="2104390"/>
                  <wp:effectExtent l="0" t="0" r="16510" b="10160"/>
                  <wp:docPr id="5" name="图片 5" descr="微信图片_2025042316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50423161350"/>
                          <pic:cNvPicPr>
                            <a:picLocks noChangeAspect="1"/>
                          </pic:cNvPicPr>
                        </pic:nvPicPr>
                        <pic:blipFill>
                          <a:blip r:embed="rId6"/>
                          <a:stretch>
                            <a:fillRect/>
                          </a:stretch>
                        </pic:blipFill>
                        <pic:spPr>
                          <a:xfrm>
                            <a:off x="0" y="0"/>
                            <a:ext cx="2745740" cy="2104390"/>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727325" cy="2226310"/>
                  <wp:effectExtent l="0" t="0" r="15875" b="2540"/>
                  <wp:docPr id="7" name="图片 7" descr="微信图片_202504231613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504231613522"/>
                          <pic:cNvPicPr>
                            <a:picLocks noChangeAspect="1"/>
                          </pic:cNvPicPr>
                        </pic:nvPicPr>
                        <pic:blipFill>
                          <a:blip r:embed="rId7"/>
                          <a:stretch>
                            <a:fillRect/>
                          </a:stretch>
                        </pic:blipFill>
                        <pic:spPr>
                          <a:xfrm>
                            <a:off x="0" y="0"/>
                            <a:ext cx="2727325" cy="2226310"/>
                          </a:xfrm>
                          <a:prstGeom prst="rect">
                            <a:avLst/>
                          </a:prstGeom>
                        </pic:spPr>
                      </pic:pic>
                    </a:graphicData>
                  </a:graphic>
                </wp:inline>
              </w:drawing>
            </w:r>
          </w:p>
        </w:tc>
      </w:tr>
    </w:tbl>
    <w:p w14:paraId="22B02AFD">
      <w:pPr>
        <w:rPr>
          <w:rFonts w:hint="eastAsia" w:ascii="仿宋" w:hAnsi="仿宋" w:eastAsia="仿宋" w:cs="Times New Roman"/>
          <w:bCs/>
          <w:kern w:val="0"/>
          <w:sz w:val="28"/>
          <w:szCs w:val="32"/>
        </w:rPr>
      </w:pPr>
    </w:p>
    <w:tbl>
      <w:tblPr>
        <w:tblStyle w:val="13"/>
        <w:tblW w:w="5453"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5"/>
        <w:gridCol w:w="4646"/>
      </w:tblGrid>
      <w:tr w14:paraId="715A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35388299">
            <w:pPr>
              <w:rPr>
                <w:rFonts w:ascii="仿宋" w:hAnsi="仿宋" w:eastAsia="仿宋" w:cs="Times New Roman"/>
                <w:kern w:val="0"/>
                <w:sz w:val="28"/>
                <w:szCs w:val="32"/>
              </w:rPr>
            </w:pPr>
            <w:r>
              <w:rPr>
                <w:rFonts w:hint="eastAsia" w:ascii="仿宋" w:hAnsi="仿宋" w:eastAsia="仿宋" w:cs="Times New Roman"/>
                <w:kern w:val="0"/>
                <w:sz w:val="28"/>
                <w:szCs w:val="32"/>
                <w:lang w:val="en-US" w:eastAsia="zh-CN"/>
              </w:rPr>
              <w:t>2、</w:t>
            </w:r>
            <w:r>
              <w:rPr>
                <w:rFonts w:hint="eastAsia" w:ascii="仿宋_GB2312" w:hAnsi="仿宋" w:eastAsia="仿宋_GB2312" w:cs="仿宋"/>
                <w:color w:val="000000"/>
                <w:sz w:val="28"/>
                <w:szCs w:val="28"/>
              </w:rPr>
              <w:t>中山市东升镇为民路30号</w:t>
            </w:r>
            <w:r>
              <w:rPr>
                <w:rFonts w:hint="eastAsia" w:ascii="仿宋_GB2312" w:hAnsi="仿宋" w:eastAsia="仿宋_GB2312" w:cs="仿宋"/>
                <w:color w:val="000000"/>
                <w:sz w:val="28"/>
                <w:szCs w:val="28"/>
                <w:lang w:val="en-US" w:eastAsia="zh-CN"/>
              </w:rPr>
              <w:t>2宗房地产</w:t>
            </w:r>
            <w:r>
              <w:rPr>
                <w:rFonts w:hint="eastAsia" w:ascii="仿宋_GB2312" w:hAnsi="仿宋" w:eastAsia="仿宋_GB2312" w:cs="仿宋"/>
                <w:color w:val="000000"/>
                <w:sz w:val="28"/>
                <w:szCs w:val="28"/>
                <w:lang w:eastAsia="zh-CN"/>
              </w:rPr>
              <w:t>，</w:t>
            </w:r>
            <w:r>
              <w:rPr>
                <w:rFonts w:hint="eastAsia" w:ascii="仿宋_GB2312" w:hAnsi="仿宋" w:eastAsia="仿宋_GB2312" w:cs="仿宋"/>
                <w:bCs w:val="0"/>
                <w:color w:val="000000"/>
                <w:kern w:val="2"/>
                <w:sz w:val="28"/>
                <w:szCs w:val="28"/>
                <w:lang w:val="en-US" w:eastAsia="zh-CN"/>
              </w:rPr>
              <w:t>名为万家欢乐城1、2号楼</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w:t>
            </w:r>
            <w:r>
              <w:rPr>
                <w:rFonts w:hint="eastAsia" w:ascii="仿宋_GB2312" w:hAnsi="仿宋" w:eastAsia="仿宋_GB2312" w:cs="仿宋"/>
                <w:color w:val="000000"/>
                <w:sz w:val="28"/>
                <w:szCs w:val="28"/>
                <w:lang w:val="en-US" w:eastAsia="zh-CN"/>
              </w:rPr>
              <w:t>合计</w:t>
            </w:r>
            <w:r>
              <w:rPr>
                <w:rFonts w:hint="eastAsia" w:ascii="仿宋_GB2312" w:hAnsi="仿宋" w:eastAsia="仿宋_GB2312" w:cs="仿宋"/>
                <w:color w:val="000000"/>
                <w:sz w:val="28"/>
                <w:szCs w:val="28"/>
              </w:rPr>
              <w:t>【</w:t>
            </w:r>
            <w:r>
              <w:rPr>
                <w:rFonts w:hint="eastAsia" w:ascii="仿宋_GB2312" w:hAnsi="仿宋" w:eastAsia="仿宋_GB2312" w:cs="仿宋"/>
                <w:bCs w:val="0"/>
                <w:color w:val="000000"/>
                <w:kern w:val="2"/>
                <w:sz w:val="28"/>
                <w:szCs w:val="28"/>
                <w:lang w:val="en-US" w:eastAsia="zh-CN"/>
              </w:rPr>
              <w:t>4,150.50</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w:t>
            </w:r>
            <w:r>
              <w:rPr>
                <w:rFonts w:hint="eastAsia" w:ascii="仿宋_GB2312" w:hAnsi="仿宋" w:eastAsia="仿宋_GB2312" w:cs="仿宋"/>
                <w:bCs w:val="0"/>
                <w:color w:val="000000"/>
                <w:kern w:val="2"/>
                <w:sz w:val="28"/>
                <w:szCs w:val="28"/>
                <w:lang w:val="en-US" w:eastAsia="zh-CN"/>
              </w:rPr>
              <w:t>7,729.6</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p>
        </w:tc>
      </w:tr>
      <w:tr w14:paraId="58C9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2" w:type="pct"/>
            <w:tcBorders>
              <w:top w:val="single" w:color="auto" w:sz="4" w:space="0"/>
              <w:left w:val="single" w:color="auto" w:sz="4" w:space="0"/>
              <w:bottom w:val="single" w:color="auto" w:sz="4" w:space="0"/>
              <w:right w:val="single" w:color="auto" w:sz="4" w:space="0"/>
            </w:tcBorders>
            <w:vAlign w:val="center"/>
          </w:tcPr>
          <w:p w14:paraId="1AECF0E7">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837180" cy="2198370"/>
                  <wp:effectExtent l="0" t="0" r="1270" b="11430"/>
                  <wp:docPr id="30" name="图片 30" descr="微信图片_2025042316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微信图片_20250423161425"/>
                          <pic:cNvPicPr>
                            <a:picLocks noChangeAspect="1"/>
                          </pic:cNvPicPr>
                        </pic:nvPicPr>
                        <pic:blipFill>
                          <a:blip r:embed="rId8"/>
                          <a:stretch>
                            <a:fillRect/>
                          </a:stretch>
                        </pic:blipFill>
                        <pic:spPr>
                          <a:xfrm>
                            <a:off x="0" y="0"/>
                            <a:ext cx="2837180" cy="2198370"/>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820670" cy="2210435"/>
                  <wp:effectExtent l="0" t="0" r="17780" b="18415"/>
                  <wp:docPr id="32" name="图片 32" descr="微信图片_2025042316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微信图片_20250423161415"/>
                          <pic:cNvPicPr>
                            <a:picLocks noChangeAspect="1"/>
                          </pic:cNvPicPr>
                        </pic:nvPicPr>
                        <pic:blipFill>
                          <a:blip r:embed="rId9"/>
                          <a:stretch>
                            <a:fillRect/>
                          </a:stretch>
                        </pic:blipFill>
                        <pic:spPr>
                          <a:xfrm>
                            <a:off x="0" y="0"/>
                            <a:ext cx="2820670" cy="2210435"/>
                          </a:xfrm>
                          <a:prstGeom prst="rect">
                            <a:avLst/>
                          </a:prstGeom>
                        </pic:spPr>
                      </pic:pic>
                    </a:graphicData>
                  </a:graphic>
                </wp:inline>
              </w:drawing>
            </w:r>
          </w:p>
        </w:tc>
        <w:tc>
          <w:tcPr>
            <w:tcW w:w="2497" w:type="pct"/>
            <w:tcBorders>
              <w:top w:val="single" w:color="auto" w:sz="4" w:space="0"/>
              <w:left w:val="single" w:color="auto" w:sz="4" w:space="0"/>
              <w:bottom w:val="single" w:color="auto" w:sz="4" w:space="0"/>
              <w:right w:val="single" w:color="auto" w:sz="4" w:space="0"/>
            </w:tcBorders>
            <w:vAlign w:val="center"/>
          </w:tcPr>
          <w:p w14:paraId="34E7DAAC">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748280" cy="2209165"/>
                  <wp:effectExtent l="0" t="0" r="13970" b="635"/>
                  <wp:docPr id="31" name="图片 31" descr="微信图片_2025042316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微信图片_20250423161424"/>
                          <pic:cNvPicPr>
                            <a:picLocks noChangeAspect="1"/>
                          </pic:cNvPicPr>
                        </pic:nvPicPr>
                        <pic:blipFill>
                          <a:blip r:embed="rId10"/>
                          <a:stretch>
                            <a:fillRect/>
                          </a:stretch>
                        </pic:blipFill>
                        <pic:spPr>
                          <a:xfrm>
                            <a:off x="0" y="0"/>
                            <a:ext cx="2748280" cy="2209165"/>
                          </a:xfrm>
                          <a:prstGeom prst="rect">
                            <a:avLst/>
                          </a:prstGeom>
                        </pic:spPr>
                      </pic:pic>
                    </a:graphicData>
                  </a:graphic>
                </wp:inline>
              </w:drawing>
            </w:r>
            <w:r>
              <w:rPr>
                <w:rFonts w:hint="eastAsia" w:ascii="仿宋" w:hAnsi="仿宋" w:eastAsia="仿宋"/>
                <w:sz w:val="32"/>
                <w:szCs w:val="32"/>
                <w:highlight w:val="none"/>
                <w:lang w:eastAsia="zh-CN"/>
              </w:rPr>
              <w:drawing>
                <wp:inline distT="0" distB="0" distL="114300" distR="114300">
                  <wp:extent cx="2684780" cy="2238375"/>
                  <wp:effectExtent l="0" t="0" r="1270" b="9525"/>
                  <wp:docPr id="33" name="图片 33" descr="8d1bafc01bbb64155a7165b70fd64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8d1bafc01bbb64155a7165b70fd64234"/>
                          <pic:cNvPicPr>
                            <a:picLocks noChangeAspect="1"/>
                          </pic:cNvPicPr>
                        </pic:nvPicPr>
                        <pic:blipFill>
                          <a:blip r:embed="rId11"/>
                          <a:stretch>
                            <a:fillRect/>
                          </a:stretch>
                        </pic:blipFill>
                        <pic:spPr>
                          <a:xfrm>
                            <a:off x="0" y="0"/>
                            <a:ext cx="2684780" cy="2238375"/>
                          </a:xfrm>
                          <a:prstGeom prst="rect">
                            <a:avLst/>
                          </a:prstGeom>
                        </pic:spPr>
                      </pic:pic>
                    </a:graphicData>
                  </a:graphic>
                </wp:inline>
              </w:drawing>
            </w:r>
          </w:p>
        </w:tc>
      </w:tr>
    </w:tbl>
    <w:p w14:paraId="5F04218D">
      <w:pPr>
        <w:rPr>
          <w:rFonts w:hint="eastAsia" w:ascii="仿宋" w:hAnsi="仿宋" w:eastAsia="仿宋" w:cs="Times New Roman"/>
          <w:bCs/>
          <w:kern w:val="0"/>
          <w:sz w:val="28"/>
          <w:szCs w:val="32"/>
        </w:rPr>
      </w:pPr>
    </w:p>
    <w:tbl>
      <w:tblPr>
        <w:tblStyle w:val="13"/>
        <w:tblW w:w="5453"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5"/>
        <w:gridCol w:w="4646"/>
      </w:tblGrid>
      <w:tr w14:paraId="58111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337BF00D">
            <w:pPr>
              <w:rPr>
                <w:rFonts w:ascii="仿宋" w:hAnsi="仿宋" w:eastAsia="仿宋" w:cs="Times New Roman"/>
                <w:kern w:val="0"/>
                <w:sz w:val="28"/>
                <w:szCs w:val="32"/>
              </w:rPr>
            </w:pPr>
            <w:r>
              <w:rPr>
                <w:rFonts w:hint="eastAsia" w:ascii="仿宋" w:hAnsi="仿宋" w:eastAsia="仿宋" w:cs="Times New Roman"/>
                <w:kern w:val="0"/>
                <w:sz w:val="28"/>
                <w:szCs w:val="32"/>
                <w:lang w:val="en-US" w:eastAsia="zh-CN"/>
              </w:rPr>
              <w:t>3、</w:t>
            </w:r>
            <w:bookmarkStart w:id="1" w:name="_GoBack"/>
            <w:bookmarkEnd w:id="1"/>
            <w:r>
              <w:rPr>
                <w:rFonts w:hint="eastAsia" w:ascii="仿宋_GB2312" w:hAnsi="仿宋" w:eastAsia="仿宋_GB2312" w:cs="仿宋"/>
                <w:bCs w:val="0"/>
                <w:color w:val="000000"/>
                <w:kern w:val="2"/>
                <w:sz w:val="28"/>
                <w:szCs w:val="28"/>
              </w:rPr>
              <w:t>中山市东升镇坦背村“大连盛围”</w:t>
            </w:r>
            <w:r>
              <w:rPr>
                <w:rFonts w:hint="eastAsia" w:ascii="仿宋_GB2312" w:hAnsi="仿宋" w:eastAsia="仿宋_GB2312" w:cs="仿宋"/>
                <w:bCs w:val="0"/>
                <w:color w:val="000000"/>
                <w:kern w:val="2"/>
                <w:sz w:val="28"/>
                <w:szCs w:val="28"/>
                <w:lang w:val="en-US" w:eastAsia="zh-CN"/>
              </w:rPr>
              <w:t>房地产</w:t>
            </w:r>
            <w:r>
              <w:rPr>
                <w:rFonts w:hint="eastAsia" w:ascii="仿宋_GB2312" w:hAnsi="仿宋" w:eastAsia="仿宋_GB2312" w:cs="仿宋"/>
                <w:bCs w:val="0"/>
                <w:color w:val="000000"/>
                <w:kern w:val="2"/>
                <w:sz w:val="28"/>
                <w:szCs w:val="28"/>
              </w:rPr>
              <w:t>，</w:t>
            </w:r>
            <w:r>
              <w:rPr>
                <w:rFonts w:hint="eastAsia" w:ascii="仿宋_GB2312" w:hAnsi="仿宋" w:eastAsia="仿宋_GB2312" w:cs="仿宋"/>
                <w:bCs w:val="0"/>
                <w:color w:val="000000"/>
                <w:kern w:val="2"/>
                <w:sz w:val="28"/>
                <w:szCs w:val="28"/>
                <w:lang w:val="en-US" w:eastAsia="zh-CN"/>
              </w:rPr>
              <w:t>名为</w:t>
            </w:r>
            <w:r>
              <w:rPr>
                <w:rFonts w:hint="eastAsia" w:ascii="仿宋_GB2312" w:hAnsi="仿宋" w:eastAsia="仿宋_GB2312" w:cs="仿宋"/>
                <w:bCs w:val="0"/>
                <w:color w:val="000000"/>
                <w:kern w:val="2"/>
                <w:sz w:val="28"/>
                <w:szCs w:val="28"/>
              </w:rPr>
              <w:t>星海洲文化广场3号楼</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w:t>
            </w:r>
            <w:r>
              <w:rPr>
                <w:rFonts w:hint="eastAsia" w:ascii="仿宋_GB2312" w:hAnsi="仿宋" w:eastAsia="仿宋_GB2312" w:cs="仿宋"/>
                <w:bCs w:val="0"/>
                <w:color w:val="000000"/>
                <w:kern w:val="2"/>
                <w:sz w:val="28"/>
                <w:szCs w:val="28"/>
              </w:rPr>
              <w:t>4,785.00㎡</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w:t>
            </w:r>
            <w:r>
              <w:rPr>
                <w:rFonts w:hint="eastAsia" w:ascii="仿宋_GB2312" w:hAnsi="仿宋" w:eastAsia="仿宋_GB2312" w:cs="仿宋"/>
                <w:bCs w:val="0"/>
                <w:color w:val="000000"/>
                <w:kern w:val="2"/>
                <w:sz w:val="28"/>
                <w:szCs w:val="28"/>
              </w:rPr>
              <w:t>11,276.54㎡</w:t>
            </w:r>
            <w:r>
              <w:rPr>
                <w:rFonts w:hint="eastAsia" w:ascii="仿宋_GB2312" w:hAnsi="仿宋" w:eastAsia="仿宋_GB2312" w:cs="仿宋"/>
                <w:color w:val="000000"/>
                <w:sz w:val="28"/>
                <w:szCs w:val="28"/>
              </w:rPr>
              <w:t>】</w:t>
            </w:r>
          </w:p>
        </w:tc>
      </w:tr>
      <w:tr w14:paraId="53600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2" w:hRule="atLeast"/>
        </w:trPr>
        <w:tc>
          <w:tcPr>
            <w:tcW w:w="2502" w:type="pct"/>
            <w:tcBorders>
              <w:top w:val="single" w:color="auto" w:sz="4" w:space="0"/>
              <w:left w:val="single" w:color="auto" w:sz="4" w:space="0"/>
              <w:bottom w:val="single" w:color="auto" w:sz="4" w:space="0"/>
              <w:right w:val="single" w:color="auto" w:sz="4" w:space="0"/>
            </w:tcBorders>
            <w:vAlign w:val="center"/>
          </w:tcPr>
          <w:p w14:paraId="0007F502">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757170" cy="2251075"/>
                  <wp:effectExtent l="0" t="0" r="5080" b="15875"/>
                  <wp:docPr id="50" name="图片 50" descr="微信图片_202504231614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微信图片_202504231614021"/>
                          <pic:cNvPicPr>
                            <a:picLocks noChangeAspect="1"/>
                          </pic:cNvPicPr>
                        </pic:nvPicPr>
                        <pic:blipFill>
                          <a:blip r:embed="rId12"/>
                          <a:stretch>
                            <a:fillRect/>
                          </a:stretch>
                        </pic:blipFill>
                        <pic:spPr>
                          <a:xfrm>
                            <a:off x="0" y="0"/>
                            <a:ext cx="2757170" cy="2251075"/>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567305" cy="2252980"/>
                  <wp:effectExtent l="0" t="0" r="4445" b="13970"/>
                  <wp:docPr id="38" name="图片 38" descr="微信图片_202504231614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微信图片_202504231614022"/>
                          <pic:cNvPicPr>
                            <a:picLocks noChangeAspect="1"/>
                          </pic:cNvPicPr>
                        </pic:nvPicPr>
                        <pic:blipFill>
                          <a:blip r:embed="rId13"/>
                          <a:stretch>
                            <a:fillRect/>
                          </a:stretch>
                        </pic:blipFill>
                        <pic:spPr>
                          <a:xfrm>
                            <a:off x="0" y="0"/>
                            <a:ext cx="2567305" cy="2252980"/>
                          </a:xfrm>
                          <a:prstGeom prst="rect">
                            <a:avLst/>
                          </a:prstGeom>
                        </pic:spPr>
                      </pic:pic>
                    </a:graphicData>
                  </a:graphic>
                </wp:inline>
              </w:drawing>
            </w:r>
          </w:p>
        </w:tc>
        <w:tc>
          <w:tcPr>
            <w:tcW w:w="2497" w:type="pct"/>
            <w:tcBorders>
              <w:top w:val="single" w:color="auto" w:sz="4" w:space="0"/>
              <w:left w:val="single" w:color="auto" w:sz="4" w:space="0"/>
              <w:bottom w:val="single" w:color="auto" w:sz="4" w:space="0"/>
              <w:right w:val="single" w:color="auto" w:sz="4" w:space="0"/>
            </w:tcBorders>
            <w:vAlign w:val="center"/>
          </w:tcPr>
          <w:p w14:paraId="4C14C28A">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567305" cy="2175510"/>
                  <wp:effectExtent l="0" t="0" r="4445" b="15240"/>
                  <wp:docPr id="51" name="图片 51" descr="微信图片_202504231614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微信图片_202504231614051"/>
                          <pic:cNvPicPr>
                            <a:picLocks noChangeAspect="1"/>
                          </pic:cNvPicPr>
                        </pic:nvPicPr>
                        <pic:blipFill>
                          <a:blip r:embed="rId14"/>
                          <a:stretch>
                            <a:fillRect/>
                          </a:stretch>
                        </pic:blipFill>
                        <pic:spPr>
                          <a:xfrm>
                            <a:off x="0" y="0"/>
                            <a:ext cx="2567305" cy="2175510"/>
                          </a:xfrm>
                          <a:prstGeom prst="rect">
                            <a:avLst/>
                          </a:prstGeom>
                        </pic:spPr>
                      </pic:pic>
                    </a:graphicData>
                  </a:graphic>
                </wp:inline>
              </w:drawing>
            </w:r>
            <w:r>
              <w:rPr>
                <w:rFonts w:hint="eastAsia" w:ascii="仿宋" w:hAnsi="仿宋" w:eastAsia="仿宋"/>
                <w:sz w:val="32"/>
                <w:szCs w:val="32"/>
                <w:highlight w:val="none"/>
                <w:lang w:eastAsia="zh-CN"/>
              </w:rPr>
              <w:drawing>
                <wp:inline distT="0" distB="0" distL="114300" distR="114300">
                  <wp:extent cx="2567305" cy="2158365"/>
                  <wp:effectExtent l="0" t="0" r="4445" b="13335"/>
                  <wp:docPr id="28" name="图片 28" descr="d0c53f98e446a5a9987980397391b9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0c53f98e446a5a9987980397391b96a"/>
                          <pic:cNvPicPr>
                            <a:picLocks noChangeAspect="1"/>
                          </pic:cNvPicPr>
                        </pic:nvPicPr>
                        <pic:blipFill>
                          <a:blip r:embed="rId15"/>
                          <a:stretch>
                            <a:fillRect/>
                          </a:stretch>
                        </pic:blipFill>
                        <pic:spPr>
                          <a:xfrm>
                            <a:off x="0" y="0"/>
                            <a:ext cx="2567305" cy="2158365"/>
                          </a:xfrm>
                          <a:prstGeom prst="rect">
                            <a:avLst/>
                          </a:prstGeom>
                        </pic:spPr>
                      </pic:pic>
                    </a:graphicData>
                  </a:graphic>
                </wp:inline>
              </w:drawing>
            </w:r>
          </w:p>
        </w:tc>
      </w:tr>
    </w:tbl>
    <w:p w14:paraId="1BC98BF3">
      <w:pPr>
        <w:rPr>
          <w:rFonts w:hint="eastAsia" w:ascii="仿宋" w:hAnsi="仿宋" w:eastAsia="仿宋" w:cs="Times New Roman"/>
          <w:bCs/>
          <w:kern w:val="0"/>
          <w:sz w:val="28"/>
          <w:szCs w:val="32"/>
        </w:rPr>
      </w:pPr>
    </w:p>
    <w:p w14:paraId="536A9E45">
      <w:pPr>
        <w:rPr>
          <w:rFonts w:hint="eastAsia" w:ascii="仿宋" w:hAnsi="仿宋" w:eastAsia="仿宋" w:cs="Times New Roman"/>
          <w:bCs/>
          <w:kern w:val="0"/>
          <w:sz w:val="28"/>
          <w:szCs w:val="32"/>
        </w:rPr>
      </w:pPr>
    </w:p>
    <w:tbl>
      <w:tblPr>
        <w:tblStyle w:val="13"/>
        <w:tblW w:w="5453" w:type="pct"/>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18"/>
        <w:gridCol w:w="4683"/>
      </w:tblGrid>
      <w:tr w14:paraId="02139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2"/>
            <w:tcBorders>
              <w:top w:val="single" w:color="auto" w:sz="4" w:space="0"/>
              <w:left w:val="single" w:color="auto" w:sz="4" w:space="0"/>
              <w:bottom w:val="single" w:color="auto" w:sz="4" w:space="0"/>
              <w:right w:val="single" w:color="auto" w:sz="4" w:space="0"/>
            </w:tcBorders>
            <w:vAlign w:val="center"/>
          </w:tcPr>
          <w:p w14:paraId="05240B21">
            <w:pPr>
              <w:rPr>
                <w:rFonts w:ascii="仿宋" w:hAnsi="仿宋" w:eastAsia="仿宋" w:cs="Times New Roman"/>
                <w:kern w:val="0"/>
                <w:sz w:val="28"/>
                <w:szCs w:val="32"/>
              </w:rPr>
            </w:pPr>
            <w:r>
              <w:rPr>
                <w:rFonts w:hint="eastAsia" w:ascii="仿宋" w:hAnsi="仿宋" w:eastAsia="仿宋" w:cs="Times New Roman"/>
                <w:kern w:val="0"/>
                <w:sz w:val="28"/>
                <w:szCs w:val="32"/>
                <w:lang w:val="en-US" w:eastAsia="zh-CN"/>
              </w:rPr>
              <w:t>4、</w:t>
            </w:r>
            <w:r>
              <w:rPr>
                <w:rFonts w:hint="eastAsia" w:ascii="仿宋_GB2312" w:hAnsi="仿宋" w:eastAsia="仿宋_GB2312" w:cs="仿宋"/>
                <w:bCs w:val="0"/>
                <w:color w:val="000000"/>
                <w:kern w:val="2"/>
                <w:sz w:val="28"/>
                <w:szCs w:val="28"/>
                <w:lang w:val="en-US" w:eastAsia="zh-CN"/>
              </w:rPr>
              <w:t>中山市东升镇坦背村房，名为万丰广场</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土地面积【6,666.7</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lang w:val="en-US" w:eastAsia="zh-CN"/>
              </w:rPr>
              <w:t>建筑面积【18,826.43</w:t>
            </w:r>
            <w:r>
              <w:rPr>
                <w:rFonts w:hint="eastAsia" w:ascii="仿宋_GB2312" w:hAnsi="仿宋" w:eastAsia="仿宋_GB2312" w:cs="仿宋"/>
                <w:bCs w:val="0"/>
                <w:color w:val="000000"/>
                <w:kern w:val="2"/>
                <w:sz w:val="28"/>
                <w:szCs w:val="28"/>
              </w:rPr>
              <w:t>㎡</w:t>
            </w:r>
            <w:r>
              <w:rPr>
                <w:rFonts w:hint="eastAsia" w:ascii="仿宋_GB2312" w:hAnsi="仿宋" w:eastAsia="仿宋_GB2312" w:cs="仿宋"/>
                <w:color w:val="000000"/>
                <w:sz w:val="28"/>
                <w:szCs w:val="28"/>
              </w:rPr>
              <w:t>】</w:t>
            </w:r>
          </w:p>
        </w:tc>
      </w:tr>
      <w:tr w14:paraId="1127B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2" w:type="pct"/>
            <w:tcBorders>
              <w:top w:val="single" w:color="auto" w:sz="4" w:space="0"/>
              <w:left w:val="single" w:color="auto" w:sz="4" w:space="0"/>
              <w:bottom w:val="single" w:color="auto" w:sz="4" w:space="0"/>
              <w:right w:val="single" w:color="auto" w:sz="4" w:space="0"/>
            </w:tcBorders>
            <w:vAlign w:val="center"/>
          </w:tcPr>
          <w:p w14:paraId="314ADCFF">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778760" cy="2221230"/>
                  <wp:effectExtent l="0" t="0" r="2540" b="7620"/>
                  <wp:docPr id="47" name="图片 47" descr="微信图片_20250423161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微信图片_20250423161344"/>
                          <pic:cNvPicPr>
                            <a:picLocks noChangeAspect="1"/>
                          </pic:cNvPicPr>
                        </pic:nvPicPr>
                        <pic:blipFill>
                          <a:blip r:embed="rId16"/>
                          <a:stretch>
                            <a:fillRect/>
                          </a:stretch>
                        </pic:blipFill>
                        <pic:spPr>
                          <a:xfrm>
                            <a:off x="0" y="0"/>
                            <a:ext cx="2778760" cy="2221230"/>
                          </a:xfrm>
                          <a:prstGeom prst="rect">
                            <a:avLst/>
                          </a:prstGeom>
                        </pic:spPr>
                      </pic:pic>
                    </a:graphicData>
                  </a:graphic>
                </wp:inline>
              </w:drawing>
            </w:r>
            <w:r>
              <w:rPr>
                <w:rFonts w:hint="eastAsia" w:ascii="仿宋" w:hAnsi="仿宋" w:eastAsia="仿宋" w:cs="仿宋"/>
                <w:kern w:val="0"/>
                <w:sz w:val="32"/>
                <w:szCs w:val="32"/>
                <w:highlight w:val="none"/>
              </w:rPr>
              <w:drawing>
                <wp:inline distT="0" distB="0" distL="114300" distR="114300">
                  <wp:extent cx="2768600" cy="2098675"/>
                  <wp:effectExtent l="0" t="0" r="12700" b="15875"/>
                  <wp:docPr id="52" name="图片 52" descr="微信图片_20241230172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微信图片_20241230172611"/>
                          <pic:cNvPicPr>
                            <a:picLocks noChangeAspect="1"/>
                          </pic:cNvPicPr>
                        </pic:nvPicPr>
                        <pic:blipFill>
                          <a:blip r:embed="rId17"/>
                          <a:stretch>
                            <a:fillRect/>
                          </a:stretch>
                        </pic:blipFill>
                        <pic:spPr>
                          <a:xfrm>
                            <a:off x="0" y="0"/>
                            <a:ext cx="2768600" cy="2098675"/>
                          </a:xfrm>
                          <a:prstGeom prst="rect">
                            <a:avLst/>
                          </a:prstGeom>
                        </pic:spPr>
                      </pic:pic>
                    </a:graphicData>
                  </a:graphic>
                </wp:inline>
              </w:drawing>
            </w:r>
          </w:p>
        </w:tc>
        <w:tc>
          <w:tcPr>
            <w:tcW w:w="2517" w:type="pct"/>
            <w:tcBorders>
              <w:top w:val="single" w:color="auto" w:sz="4" w:space="0"/>
              <w:left w:val="single" w:color="auto" w:sz="4" w:space="0"/>
              <w:bottom w:val="single" w:color="auto" w:sz="4" w:space="0"/>
              <w:right w:val="single" w:color="auto" w:sz="4" w:space="0"/>
            </w:tcBorders>
            <w:vAlign w:val="center"/>
          </w:tcPr>
          <w:p w14:paraId="14CEE133">
            <w:pPr>
              <w:rPr>
                <w:rFonts w:hint="eastAsia" w:ascii="仿宋" w:hAnsi="仿宋" w:eastAsia="仿宋" w:cs="Times New Roman"/>
                <w:kern w:val="0"/>
                <w:sz w:val="28"/>
                <w:szCs w:val="32"/>
              </w:rPr>
            </w:pPr>
            <w:r>
              <w:rPr>
                <w:rFonts w:hint="eastAsia" w:ascii="仿宋" w:hAnsi="仿宋" w:eastAsia="仿宋" w:cs="仿宋"/>
                <w:kern w:val="0"/>
                <w:sz w:val="32"/>
                <w:szCs w:val="32"/>
                <w:highlight w:val="none"/>
              </w:rPr>
              <w:drawing>
                <wp:inline distT="0" distB="0" distL="114300" distR="114300">
                  <wp:extent cx="2706370" cy="2134235"/>
                  <wp:effectExtent l="0" t="0" r="17780" b="18415"/>
                  <wp:docPr id="49" name="图片 49" descr="微信图片_202504231613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微信图片_202504231613471"/>
                          <pic:cNvPicPr>
                            <a:picLocks noChangeAspect="1"/>
                          </pic:cNvPicPr>
                        </pic:nvPicPr>
                        <pic:blipFill>
                          <a:blip r:embed="rId18"/>
                          <a:stretch>
                            <a:fillRect/>
                          </a:stretch>
                        </pic:blipFill>
                        <pic:spPr>
                          <a:xfrm>
                            <a:off x="0" y="0"/>
                            <a:ext cx="2706370" cy="2134235"/>
                          </a:xfrm>
                          <a:prstGeom prst="rect">
                            <a:avLst/>
                          </a:prstGeom>
                        </pic:spPr>
                      </pic:pic>
                    </a:graphicData>
                  </a:graphic>
                </wp:inline>
              </w:drawing>
            </w:r>
            <w:r>
              <w:rPr>
                <w:rFonts w:hint="eastAsia" w:ascii="仿宋" w:hAnsi="仿宋" w:eastAsia="仿宋"/>
                <w:sz w:val="32"/>
                <w:szCs w:val="32"/>
                <w:highlight w:val="none"/>
                <w:lang w:eastAsia="zh-CN"/>
              </w:rPr>
              <w:drawing>
                <wp:inline distT="0" distB="0" distL="114300" distR="114300">
                  <wp:extent cx="2706370" cy="2205990"/>
                  <wp:effectExtent l="0" t="0" r="17780" b="3810"/>
                  <wp:docPr id="48" name="图片 48" descr="9b4e32ce8abe864543f6a1f5c4ccf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9b4e32ce8abe864543f6a1f5c4ccf284"/>
                          <pic:cNvPicPr>
                            <a:picLocks noChangeAspect="1"/>
                          </pic:cNvPicPr>
                        </pic:nvPicPr>
                        <pic:blipFill>
                          <a:blip r:embed="rId19"/>
                          <a:stretch>
                            <a:fillRect/>
                          </a:stretch>
                        </pic:blipFill>
                        <pic:spPr>
                          <a:xfrm>
                            <a:off x="0" y="0"/>
                            <a:ext cx="2706370" cy="2205990"/>
                          </a:xfrm>
                          <a:prstGeom prst="rect">
                            <a:avLst/>
                          </a:prstGeom>
                        </pic:spPr>
                      </pic:pic>
                    </a:graphicData>
                  </a:graphic>
                </wp:inline>
              </w:drawing>
            </w:r>
          </w:p>
        </w:tc>
      </w:tr>
    </w:tbl>
    <w:p w14:paraId="4D329A71">
      <w:pPr>
        <w:rPr>
          <w:rFonts w:hint="eastAsia" w:ascii="仿宋" w:hAnsi="仿宋" w:eastAsia="仿宋" w:cs="Times New Roman"/>
          <w:bCs/>
          <w:kern w:val="0"/>
          <w:sz w:val="28"/>
          <w:szCs w:val="32"/>
        </w:rPr>
      </w:pPr>
    </w:p>
    <w:p w14:paraId="2F815000">
      <w:pPr>
        <w:pStyle w:val="10"/>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8</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29</w:t>
      </w:r>
      <w:r>
        <w:rPr>
          <w:rFonts w:hint="eastAsia" w:ascii="仿宋_GB2312" w:hAnsi="仿宋" w:eastAsia="仿宋_GB2312" w:cs="仿宋"/>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pPr>
        <w:pStyle w:val="10"/>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0"/>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46D68A38">
      <w:pPr>
        <w:pStyle w:val="10"/>
        <w:widowControl/>
        <w:spacing w:line="360" w:lineRule="atLeast"/>
        <w:rPr>
          <w:rFonts w:hint="eastAsia" w:ascii="仿宋" w:hAnsi="仿宋" w:eastAsia="仿宋" w:cs="Times New Roman"/>
          <w:bCs/>
          <w:kern w:val="0"/>
          <w:sz w:val="28"/>
          <w:szCs w:val="32"/>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revisionView w:markup="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04B862AB"/>
    <w:rsid w:val="04D035F5"/>
    <w:rsid w:val="076466E6"/>
    <w:rsid w:val="0B5674F3"/>
    <w:rsid w:val="0E1267C9"/>
    <w:rsid w:val="0F9216B9"/>
    <w:rsid w:val="116972AB"/>
    <w:rsid w:val="178561DC"/>
    <w:rsid w:val="184B033B"/>
    <w:rsid w:val="194D4A89"/>
    <w:rsid w:val="1E307726"/>
    <w:rsid w:val="1E86175E"/>
    <w:rsid w:val="20A53B08"/>
    <w:rsid w:val="20DC30C4"/>
    <w:rsid w:val="219019D3"/>
    <w:rsid w:val="241F519A"/>
    <w:rsid w:val="2C9B4E2C"/>
    <w:rsid w:val="2D8B7F03"/>
    <w:rsid w:val="2EB422FE"/>
    <w:rsid w:val="30017E5B"/>
    <w:rsid w:val="312014F1"/>
    <w:rsid w:val="31E07595"/>
    <w:rsid w:val="36B24617"/>
    <w:rsid w:val="3AD81A2B"/>
    <w:rsid w:val="3C377FE9"/>
    <w:rsid w:val="3CF610C5"/>
    <w:rsid w:val="3E262D06"/>
    <w:rsid w:val="4663778E"/>
    <w:rsid w:val="4A8B6A4D"/>
    <w:rsid w:val="4CD17A02"/>
    <w:rsid w:val="4D645BBB"/>
    <w:rsid w:val="4E135126"/>
    <w:rsid w:val="4F2A5268"/>
    <w:rsid w:val="51266C9A"/>
    <w:rsid w:val="53162A7A"/>
    <w:rsid w:val="5352565D"/>
    <w:rsid w:val="57545864"/>
    <w:rsid w:val="58027A7A"/>
    <w:rsid w:val="5BAA0990"/>
    <w:rsid w:val="5DAA62F8"/>
    <w:rsid w:val="5EAC0136"/>
    <w:rsid w:val="60313330"/>
    <w:rsid w:val="62B86871"/>
    <w:rsid w:val="65D66025"/>
    <w:rsid w:val="66B370FA"/>
    <w:rsid w:val="699378B0"/>
    <w:rsid w:val="6A034C97"/>
    <w:rsid w:val="709151E7"/>
    <w:rsid w:val="74AF129E"/>
    <w:rsid w:val="77227CF8"/>
    <w:rsid w:val="79C77851"/>
    <w:rsid w:val="7C755A14"/>
    <w:rsid w:val="7D7013E0"/>
    <w:rsid w:val="7E332C21"/>
    <w:rsid w:val="7E4470AC"/>
    <w:rsid w:val="7E8D2010"/>
    <w:rsid w:val="7F52086E"/>
    <w:rsid w:val="7FEE4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黑体"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宋体"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21"/>
    <w:unhideWhenUsed/>
    <w:qFormat/>
    <w:uiPriority w:val="0"/>
    <w:pPr>
      <w:jc w:val="left"/>
    </w:pPr>
  </w:style>
  <w:style w:type="paragraph" w:styleId="7">
    <w:name w:val="Balloon Text"/>
    <w:basedOn w:val="1"/>
    <w:link w:val="23"/>
    <w:unhideWhenUsed/>
    <w:qFormat/>
    <w:uiPriority w:val="0"/>
    <w:rPr>
      <w:sz w:val="18"/>
      <w:szCs w:val="18"/>
    </w:rPr>
  </w:style>
  <w:style w:type="paragraph" w:styleId="8">
    <w:name w:val="footer"/>
    <w:basedOn w:val="1"/>
    <w:link w:val="19"/>
    <w:unhideWhenUsed/>
    <w:qFormat/>
    <w:uiPriority w:val="0"/>
    <w:pPr>
      <w:tabs>
        <w:tab w:val="center" w:pos="4153"/>
        <w:tab w:val="right" w:pos="8306"/>
      </w:tabs>
      <w:snapToGrid w:val="0"/>
      <w:jc w:val="left"/>
    </w:pPr>
    <w:rPr>
      <w:sz w:val="18"/>
      <w:szCs w:val="18"/>
    </w:rPr>
  </w:style>
  <w:style w:type="paragraph" w:styleId="9">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paragraph" w:styleId="11">
    <w:name w:val="annotation subject"/>
    <w:basedOn w:val="6"/>
    <w:next w:val="6"/>
    <w:link w:val="22"/>
    <w:unhideWhenUsed/>
    <w:qFormat/>
    <w:uiPriority w:val="0"/>
    <w:rPr>
      <w:b/>
      <w:bCs/>
    </w:rPr>
  </w:style>
  <w:style w:type="table" w:styleId="13">
    <w:name w:val="Table Grid"/>
    <w:basedOn w:val="12"/>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FollowedHyperlink"/>
    <w:basedOn w:val="14"/>
    <w:semiHidden/>
    <w:unhideWhenUsed/>
    <w:qFormat/>
    <w:uiPriority w:val="99"/>
    <w:rPr>
      <w:color w:val="800080"/>
      <w:u w:val="single"/>
    </w:rPr>
  </w:style>
  <w:style w:type="character" w:styleId="16">
    <w:name w:val="Hyperlink"/>
    <w:basedOn w:val="14"/>
    <w:semiHidden/>
    <w:unhideWhenUsed/>
    <w:qFormat/>
    <w:uiPriority w:val="99"/>
    <w:rPr>
      <w:color w:val="0000FF"/>
      <w:u w:val="single"/>
    </w:rPr>
  </w:style>
  <w:style w:type="character" w:styleId="17">
    <w:name w:val="annotation reference"/>
    <w:basedOn w:val="14"/>
    <w:unhideWhenUsed/>
    <w:qFormat/>
    <w:uiPriority w:val="0"/>
    <w:rPr>
      <w:sz w:val="21"/>
      <w:szCs w:val="21"/>
    </w:rPr>
  </w:style>
  <w:style w:type="character" w:customStyle="1" w:styleId="18">
    <w:name w:val="页眉 字符"/>
    <w:basedOn w:val="14"/>
    <w:link w:val="9"/>
    <w:qFormat/>
    <w:uiPriority w:val="99"/>
    <w:rPr>
      <w:sz w:val="18"/>
      <w:szCs w:val="18"/>
    </w:rPr>
  </w:style>
  <w:style w:type="character" w:customStyle="1" w:styleId="19">
    <w:name w:val="页脚 字符"/>
    <w:basedOn w:val="14"/>
    <w:link w:val="8"/>
    <w:qFormat/>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14"/>
    <w:link w:val="6"/>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14"/>
    <w:link w:val="7"/>
    <w:qFormat/>
    <w:uiPriority w:val="0"/>
    <w:rPr>
      <w:sz w:val="18"/>
      <w:szCs w:val="18"/>
    </w:rPr>
  </w:style>
  <w:style w:type="character" w:customStyle="1" w:styleId="24">
    <w:name w:val="标题 1 字符"/>
    <w:basedOn w:val="14"/>
    <w:link w:val="2"/>
    <w:qFormat/>
    <w:uiPriority w:val="0"/>
    <w:rPr>
      <w:rFonts w:ascii="Times New Roman" w:hAnsi="Times New Roman" w:eastAsia="宋体" w:cs="Times New Roman"/>
      <w:b/>
      <w:bCs/>
      <w:kern w:val="44"/>
      <w:sz w:val="44"/>
      <w:szCs w:val="44"/>
    </w:rPr>
  </w:style>
  <w:style w:type="character" w:customStyle="1" w:styleId="25">
    <w:name w:val="标题 2 字符"/>
    <w:basedOn w:val="14"/>
    <w:link w:val="3"/>
    <w:qFormat/>
    <w:uiPriority w:val="0"/>
    <w:rPr>
      <w:rFonts w:ascii="Arial" w:hAnsi="Arial" w:eastAsia="黑体" w:cs="Times New Roman"/>
      <w:b/>
      <w:kern w:val="2"/>
      <w:sz w:val="32"/>
      <w:szCs w:val="24"/>
    </w:rPr>
  </w:style>
  <w:style w:type="character" w:customStyle="1" w:styleId="26">
    <w:name w:val="标题 3 字符"/>
    <w:basedOn w:val="14"/>
    <w:link w:val="4"/>
    <w:qFormat/>
    <w:uiPriority w:val="0"/>
    <w:rPr>
      <w:rFonts w:ascii="Times New Roman" w:hAnsi="Times New Roman" w:eastAsia="宋体" w:cs="Times New Roman"/>
      <w:b/>
      <w:kern w:val="2"/>
      <w:sz w:val="32"/>
      <w:szCs w:val="24"/>
    </w:rPr>
  </w:style>
  <w:style w:type="character" w:customStyle="1" w:styleId="27">
    <w:name w:val="标题 4 字符"/>
    <w:basedOn w:val="14"/>
    <w:link w:val="5"/>
    <w:semiHidden/>
    <w:qFormat/>
    <w:uiPriority w:val="9"/>
    <w:rPr>
      <w:rFonts w:asciiTheme="majorHAnsi" w:hAnsiTheme="majorHAnsi" w:eastAsiaTheme="majorEastAsia" w:cstheme="majorBidi"/>
      <w:b/>
      <w:bCs/>
      <w:kern w:val="2"/>
      <w:sz w:val="28"/>
      <w:szCs w:val="28"/>
    </w:rPr>
  </w:style>
  <w:style w:type="table" w:customStyle="1" w:styleId="28">
    <w:name w:val="网格型6"/>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12"/>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2">
    <w:name w:val="xl68"/>
    <w:basedOn w:val="1"/>
    <w:qFormat/>
    <w:uiPriority w:val="0"/>
    <w:pPr>
      <w:widowControl/>
      <w:spacing w:before="100" w:beforeAutospacing="1" w:after="100" w:afterAutospacing="1"/>
      <w:jc w:val="left"/>
    </w:pPr>
    <w:rPr>
      <w:rFonts w:ascii="仿宋" w:hAnsi="仿宋" w:eastAsia="仿宋" w:cs="宋体"/>
      <w:kern w:val="0"/>
      <w:sz w:val="18"/>
      <w:szCs w:val="18"/>
    </w:rPr>
  </w:style>
  <w:style w:type="paragraph" w:customStyle="1" w:styleId="33">
    <w:name w:val="xl69"/>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4">
    <w:name w:val="xl70"/>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5">
    <w:name w:val="xl71"/>
    <w:basedOn w:val="1"/>
    <w:qFormat/>
    <w:uiPriority w:val="0"/>
    <w:pPr>
      <w:widowControl/>
      <w:spacing w:before="100" w:beforeAutospacing="1" w:after="100" w:afterAutospacing="1"/>
      <w:jc w:val="left"/>
    </w:pPr>
    <w:rPr>
      <w:rFonts w:ascii="仿宋" w:hAnsi="仿宋" w:eastAsia="仿宋" w:cs="宋体"/>
      <w:kern w:val="0"/>
      <w:sz w:val="24"/>
      <w:szCs w:val="24"/>
    </w:rPr>
  </w:style>
  <w:style w:type="paragraph" w:customStyle="1" w:styleId="3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7">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18"/>
      <w:szCs w:val="18"/>
    </w:rPr>
  </w:style>
  <w:style w:type="paragraph" w:customStyle="1" w:styleId="38">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3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b/>
      <w:bCs/>
      <w:kern w:val="0"/>
      <w:sz w:val="28"/>
      <w:szCs w:val="28"/>
    </w:rPr>
  </w:style>
  <w:style w:type="paragraph" w:customStyle="1" w:styleId="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paragraph" w:customStyle="1" w:styleId="4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宋体"/>
      <w:kern w:val="0"/>
      <w:sz w:val="18"/>
      <w:szCs w:val="18"/>
    </w:rPr>
  </w:style>
  <w:style w:type="table" w:customStyle="1" w:styleId="43">
    <w:name w:val="Grid Table Light"/>
    <w:basedOn w:val="12"/>
    <w:qFormat/>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14"/>
    <w:link w:val="44"/>
    <w:qFormat/>
    <w:uiPriority w:val="0"/>
    <w:rPr>
      <w:rFonts w:ascii="仿宋_GB2312" w:hAnsi="Times New Roman" w:eastAsia="仿宋_GB2312" w:cs="Times New Roman"/>
      <w:sz w:val="21"/>
      <w:szCs w:val="21"/>
    </w:rPr>
  </w:style>
  <w:style w:type="table" w:customStyle="1" w:styleId="46">
    <w:name w:val="网格型浅色1"/>
    <w:basedOn w:val="12"/>
    <w:qFormat/>
    <w:uiPriority w:val="40"/>
    <w:rPr>
      <w:rFonts w:ascii="Times New Roman" w:hAnsi="Times New Roman" w:eastAsia="宋体"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47">
    <w:name w:val="网格型5"/>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6</Pages>
  <Words>2895</Words>
  <Characters>3510</Characters>
  <Lines>7</Lines>
  <Paragraphs>2</Paragraphs>
  <TotalTime>1</TotalTime>
  <ScaleCrop>false</ScaleCrop>
  <LinksUpToDate>false</LinksUpToDate>
  <CharactersWithSpaces>3550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2024-12-04T06:39:00Z</dcterms:created>
  <dc:creator>黄月琴</dc:creator>
  <cp:lastModifiedBy>Zhl</cp:lastModifiedBy>
  <cp:lastPrinted>2025-02-11T09:23:00Z</cp:lastPrinted>
  <dcterms:modified xsi:type="dcterms:W3CDTF">2025-09-19T07:38:54Z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742C725D436B4B439FC9D3F1A93B355E</vt:lpwstr>
  </property>
  <property fmtid="{D5CDD505-2E9C-101B-9397-08002B2CF9AE}" pid="4" name="KSOTemplateDocerSaveRecord">
    <vt:lpwstr>eyJoZGlkIjoiMzRkMzJiMGQ4YTM1OTNmNzg3Yjg0ODJiYzc3OGRkNzkiLCJ1c2VySWQiOiI0NDUxNzMzMDkifQ==</vt:lpwstr>
  </property>
</Properties>
</file>