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78F1" w:rsidRDefault="00CC1575">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4E78F1" w:rsidRDefault="004E78F1">
      <w:pPr>
        <w:spacing w:line="360" w:lineRule="auto"/>
        <w:jc w:val="center"/>
        <w:rPr>
          <w:rFonts w:ascii="楷体_GB2312" w:eastAsia="楷体_GB2312" w:hAnsi="宋体"/>
          <w:b/>
          <w:bCs/>
          <w:sz w:val="30"/>
          <w:szCs w:val="30"/>
        </w:rPr>
      </w:pPr>
    </w:p>
    <w:p w:rsidR="004E78F1" w:rsidRDefault="00CC1575">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00465D2F" w:rsidRPr="00465D2F">
        <w:rPr>
          <w:rFonts w:ascii="楷体_GB2312" w:eastAsia="楷体_GB2312" w:hAnsi="宋体" w:hint="eastAsia"/>
          <w:sz w:val="24"/>
          <w:u w:val="single"/>
        </w:rPr>
        <w:t>佛山市皇朝食品有限公司</w:t>
      </w:r>
      <w:r w:rsidR="00465D2F">
        <w:rPr>
          <w:rFonts w:ascii="楷体_GB2312" w:eastAsia="楷体_GB2312" w:hAnsi="宋体" w:hint="eastAsia"/>
          <w:sz w:val="24"/>
          <w:u w:val="single"/>
        </w:rPr>
        <w:t>等6户</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4E78F1" w:rsidRDefault="00CC157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4E78F1" w:rsidRDefault="00CC1575">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一、声明人承诺，其用以收购贵司对</w:t>
      </w:r>
      <w:r w:rsidR="00465D2F" w:rsidRPr="00465D2F">
        <w:rPr>
          <w:rFonts w:ascii="楷体_GB2312" w:eastAsia="楷体_GB2312" w:hAnsi="宋体" w:hint="eastAsia"/>
          <w:sz w:val="24"/>
          <w:u w:val="single"/>
        </w:rPr>
        <w:t>佛山市皇朝食品有限公司</w:t>
      </w:r>
      <w:r w:rsidR="00465D2F">
        <w:rPr>
          <w:rFonts w:ascii="楷体_GB2312" w:eastAsia="楷体_GB2312" w:hAnsi="宋体" w:hint="eastAsia"/>
          <w:sz w:val="24"/>
          <w:u w:val="single"/>
        </w:rPr>
        <w:t>等6户</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rsidR="004E78F1" w:rsidRDefault="00CC1575">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4E78F1" w:rsidRDefault="00CC1575">
      <w:pPr>
        <w:spacing w:line="360" w:lineRule="auto"/>
        <w:ind w:firstLine="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、不存在毒品犯罪、黑社会性质的组织犯罪</w:t>
      </w:r>
      <w:r>
        <w:rPr>
          <w:rFonts w:ascii="楷体_GB2312" w:eastAsia="楷体_GB2312" w:hAnsi="宋体" w:hint="eastAsia"/>
          <w:sz w:val="24"/>
        </w:rPr>
        <w:t>、</w:t>
      </w:r>
      <w:r>
        <w:rPr>
          <w:rFonts w:ascii="楷体_GB2312" w:eastAsia="楷体_GB2312" w:hAnsi="宋体" w:hint="eastAsia"/>
          <w:sz w:val="24"/>
        </w:rPr>
        <w:t>恐</w:t>
      </w:r>
      <w:r>
        <w:rPr>
          <w:rFonts w:ascii="楷体_GB2312" w:eastAsia="楷体_GB2312" w:hAnsi="宋体" w:hint="eastAsia"/>
          <w:sz w:val="24"/>
        </w:rPr>
        <w:t>怖</w:t>
      </w:r>
      <w:r>
        <w:rPr>
          <w:rFonts w:ascii="楷体_GB2312" w:eastAsia="楷体_GB2312" w:hAnsi="宋体" w:hint="eastAsia"/>
          <w:sz w:val="24"/>
        </w:rPr>
        <w:t>活动犯罪、走私犯罪、贪污贿赂犯罪、破坏金融管理秩序犯罪、金融诈骗犯罪等情况；</w:t>
      </w:r>
    </w:p>
    <w:p w:rsidR="004E78F1" w:rsidRDefault="00CC1575">
      <w:pPr>
        <w:spacing w:line="360" w:lineRule="auto"/>
        <w:ind w:firstLine="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、不存在通过各种手段掩饰、隐瞒前述犯罪所得及其收益的来源和性质，使其在形式上合法化的情况；</w:t>
      </w:r>
    </w:p>
    <w:p w:rsidR="004E78F1" w:rsidRDefault="00CC1575">
      <w:pPr>
        <w:spacing w:line="360" w:lineRule="auto"/>
        <w:ind w:firstLine="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、不存在与洗钱、恐怖融资等犯罪活动有关的大额</w:t>
      </w:r>
      <w:r>
        <w:rPr>
          <w:rFonts w:ascii="楷体_GB2312" w:eastAsia="楷体_GB2312" w:hAnsi="宋体" w:hint="eastAsia"/>
          <w:sz w:val="24"/>
        </w:rPr>
        <w:t>类、可疑类交易；</w:t>
      </w:r>
    </w:p>
    <w:p w:rsidR="004E78F1" w:rsidRDefault="00CC1575">
      <w:pPr>
        <w:spacing w:line="360" w:lineRule="auto"/>
        <w:ind w:firstLine="48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、未被列入反洗钱、反恐怖融资监控名单；</w:t>
      </w:r>
    </w:p>
    <w:p w:rsidR="004E78F1" w:rsidRDefault="00CC1575">
      <w:pPr>
        <w:spacing w:line="360" w:lineRule="auto"/>
        <w:ind w:firstLine="48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、无其他可能被认定为洗钱的任何现象或行为。</w:t>
      </w:r>
    </w:p>
    <w:p w:rsidR="004E78F1" w:rsidRDefault="00CC157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rsidR="004E78F1" w:rsidRDefault="00CC1575">
      <w:pPr>
        <w:spacing w:line="360" w:lineRule="auto"/>
        <w:ind w:left="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、未涉足非法集资活动；</w:t>
      </w:r>
    </w:p>
    <w:p w:rsidR="004E78F1" w:rsidRDefault="00CC1575">
      <w:pPr>
        <w:spacing w:line="360" w:lineRule="auto"/>
        <w:ind w:left="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rsidR="004E78F1" w:rsidRDefault="00CC1575">
      <w:pPr>
        <w:spacing w:line="360" w:lineRule="auto"/>
        <w:ind w:left="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rsidR="004E78F1" w:rsidRDefault="00CC157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4E78F1" w:rsidRDefault="00CC157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4E78F1" w:rsidRDefault="004E78F1">
      <w:pPr>
        <w:numPr>
          <w:ilvl w:val="255"/>
          <w:numId w:val="0"/>
        </w:numPr>
        <w:spacing w:line="360" w:lineRule="auto"/>
        <w:ind w:firstLineChars="200" w:firstLine="480"/>
        <w:rPr>
          <w:rFonts w:ascii="楷体_GB2312" w:eastAsia="楷体_GB2312" w:hAnsi="宋体"/>
          <w:sz w:val="24"/>
        </w:rPr>
      </w:pPr>
    </w:p>
    <w:p w:rsidR="004E78F1" w:rsidRDefault="00CC1575">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w:t>
      </w:r>
      <w:r>
        <w:rPr>
          <w:rFonts w:ascii="楷体_GB2312" w:eastAsia="楷体_GB2312" w:hAnsi="宋体" w:hint="eastAsia"/>
          <w:sz w:val="24"/>
        </w:rPr>
        <w:lastRenderedPageBreak/>
        <w:t>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4E78F1" w:rsidRDefault="004E78F1">
      <w:pPr>
        <w:numPr>
          <w:ilvl w:val="255"/>
          <w:numId w:val="0"/>
        </w:numPr>
        <w:spacing w:line="360" w:lineRule="auto"/>
        <w:ind w:firstLineChars="200" w:firstLine="480"/>
        <w:rPr>
          <w:rFonts w:ascii="楷体_GB2312" w:eastAsia="楷体_GB2312" w:hAnsi="宋体"/>
          <w:sz w:val="24"/>
        </w:rPr>
      </w:pPr>
    </w:p>
    <w:p w:rsidR="004E78F1" w:rsidRDefault="00CC157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4E78F1" w:rsidRDefault="004E78F1">
      <w:pPr>
        <w:numPr>
          <w:ilvl w:val="255"/>
          <w:numId w:val="0"/>
        </w:numPr>
        <w:spacing w:line="360" w:lineRule="auto"/>
        <w:ind w:firstLineChars="200" w:firstLine="480"/>
        <w:rPr>
          <w:rFonts w:ascii="楷体_GB2312" w:eastAsia="楷体_GB2312" w:hAnsi="宋体"/>
          <w:sz w:val="24"/>
          <w:lang w:eastAsia="zh-Hans"/>
        </w:rPr>
      </w:pP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465D2F">
        <w:rPr>
          <w:rFonts w:ascii="楷体_GB2312" w:eastAsia="楷体_GB2312" w:hAnsi="宋体" w:hint="eastAsia"/>
          <w:sz w:val="24"/>
        </w:rPr>
        <w:t xml:space="preserve"> </w:t>
      </w:r>
      <w:r w:rsidR="00465D2F">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465D2F">
        <w:rPr>
          <w:rFonts w:ascii="楷体_GB2312" w:eastAsia="楷体_GB2312" w:hAnsi="宋体" w:hint="eastAsia"/>
          <w:sz w:val="24"/>
        </w:rPr>
        <w:t>1</w:t>
      </w:r>
      <w:r w:rsidR="00465D2F">
        <w:rPr>
          <w:rFonts w:ascii="楷体_GB2312" w:eastAsia="楷体_GB2312" w:hAnsi="宋体"/>
          <w:sz w:val="24"/>
        </w:rPr>
        <w:t>0</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w:t>
      </w:r>
      <w:r>
        <w:rPr>
          <w:rFonts w:ascii="楷体_GB2312" w:eastAsia="楷体_GB2312" w:hAnsi="宋体" w:hint="eastAsia"/>
          <w:sz w:val="24"/>
        </w:rPr>
        <w:t>利益</w:t>
      </w:r>
      <w:r>
        <w:rPr>
          <w:rFonts w:ascii="楷体_GB2312" w:eastAsia="楷体_GB2312" w:hAnsi="宋体" w:hint="eastAsia"/>
          <w:sz w:val="24"/>
        </w:rPr>
        <w:t>损失和要求赔偿损失而支付的律师费用、诉讼费用和差旅费用等）。</w:t>
      </w:r>
    </w:p>
    <w:p w:rsidR="004E78F1" w:rsidRDefault="004E78F1">
      <w:pPr>
        <w:spacing w:line="360" w:lineRule="auto"/>
        <w:ind w:firstLineChars="200" w:firstLine="480"/>
        <w:rPr>
          <w:rFonts w:ascii="楷体_GB2312" w:eastAsia="楷体_GB2312" w:hAnsi="宋体"/>
          <w:sz w:val="24"/>
        </w:rPr>
      </w:pP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4E78F1" w:rsidRDefault="004E78F1">
      <w:pPr>
        <w:spacing w:line="360" w:lineRule="auto"/>
        <w:ind w:firstLineChars="200" w:firstLine="480"/>
        <w:rPr>
          <w:rFonts w:ascii="楷体_GB2312" w:eastAsia="楷体_GB2312" w:hAnsi="宋体"/>
          <w:sz w:val="24"/>
        </w:rPr>
      </w:pP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4E78F1" w:rsidRDefault="004E78F1">
      <w:pPr>
        <w:spacing w:line="360" w:lineRule="auto"/>
        <w:ind w:firstLineChars="200" w:firstLine="480"/>
        <w:rPr>
          <w:rFonts w:ascii="楷体_GB2312" w:eastAsia="楷体_GB2312" w:hAnsi="宋体"/>
          <w:sz w:val="24"/>
        </w:rPr>
      </w:pP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4E78F1" w:rsidRDefault="004E78F1">
      <w:pPr>
        <w:spacing w:line="360" w:lineRule="auto"/>
        <w:ind w:firstLineChars="200" w:firstLine="480"/>
        <w:rPr>
          <w:rFonts w:ascii="楷体_GB2312" w:eastAsia="楷体_GB2312" w:hAnsi="宋体"/>
          <w:sz w:val="24"/>
        </w:rPr>
      </w:pPr>
    </w:p>
    <w:p w:rsidR="004E78F1" w:rsidRDefault="00CC1575">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4E78F1" w:rsidRDefault="004E78F1">
      <w:pPr>
        <w:spacing w:line="360" w:lineRule="auto"/>
        <w:rPr>
          <w:rFonts w:ascii="楷体_GB2312" w:eastAsia="楷体_GB2312" w:hAnsi="宋体"/>
          <w:sz w:val="24"/>
        </w:rPr>
      </w:pPr>
    </w:p>
    <w:p w:rsidR="004E78F1" w:rsidRDefault="00CC1575">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4E78F1" w:rsidRDefault="00CC1575">
      <w:pPr>
        <w:spacing w:line="360" w:lineRule="auto"/>
        <w:ind w:firstLineChars="1417" w:firstLine="3401"/>
        <w:rPr>
          <w:rFonts w:ascii="楷体_GB2312" w:eastAsia="楷体_GB2312" w:hAnsi="宋体"/>
          <w:sz w:val="24"/>
        </w:rPr>
      </w:pPr>
      <w:r>
        <w:rPr>
          <w:rFonts w:ascii="楷体_GB2312" w:eastAsia="楷体_GB2312" w:hAnsi="宋体" w:hint="eastAsia"/>
          <w:sz w:val="24"/>
        </w:rPr>
        <w:t>盖章：</w:t>
      </w:r>
      <w:r>
        <w:rPr>
          <w:rFonts w:ascii="楷体_GB2312" w:eastAsia="楷体_GB2312" w:hAnsi="宋体" w:hint="eastAsia"/>
          <w:sz w:val="24"/>
        </w:rPr>
        <w:t xml:space="preserve">                                </w:t>
      </w:r>
    </w:p>
    <w:p w:rsidR="004E78F1" w:rsidRDefault="00CC1575">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r>
        <w:rPr>
          <w:rFonts w:ascii="楷体_GB2312" w:eastAsia="楷体_GB2312" w:hAnsi="宋体" w:hint="eastAsia"/>
          <w:sz w:val="24"/>
        </w:rPr>
        <w:t xml:space="preserve">  </w:t>
      </w:r>
    </w:p>
    <w:p w:rsidR="004E78F1" w:rsidRPr="00465D2F" w:rsidRDefault="00CC1575" w:rsidP="00465D2F">
      <w:pPr>
        <w:spacing w:line="360" w:lineRule="auto"/>
        <w:ind w:firstLineChars="1700" w:firstLine="4080"/>
        <w:rPr>
          <w:rFonts w:ascii="楷体_GB2312" w:eastAsia="楷体_GB2312" w:hAnsi="宋体" w:hint="eastAsia"/>
          <w:b/>
          <w:bCs/>
          <w:sz w:val="24"/>
        </w:rPr>
      </w:pPr>
      <w:r>
        <w:rPr>
          <w:rFonts w:ascii="楷体_GB2312" w:eastAsia="楷体_GB2312" w:hAnsi="宋体" w:hint="eastAsia"/>
          <w:sz w:val="24"/>
        </w:rPr>
        <w:t>年</w:t>
      </w:r>
      <w:r>
        <w:rPr>
          <w:rFonts w:ascii="楷体_GB2312" w:eastAsia="楷体_GB2312" w:hAnsi="宋体" w:hint="eastAsia"/>
          <w:sz w:val="24"/>
        </w:rPr>
        <w:t xml:space="preserve">    </w:t>
      </w:r>
      <w:r>
        <w:rPr>
          <w:rFonts w:ascii="楷体_GB2312" w:eastAsia="楷体_GB2312" w:hAnsi="宋体" w:hint="eastAsia"/>
          <w:sz w:val="24"/>
        </w:rPr>
        <w:t>月</w:t>
      </w:r>
      <w:r>
        <w:rPr>
          <w:rFonts w:ascii="楷体_GB2312" w:eastAsia="楷体_GB2312" w:hAnsi="宋体" w:hint="eastAsia"/>
          <w:sz w:val="24"/>
        </w:rPr>
        <w:t xml:space="preserve">   </w:t>
      </w:r>
      <w:r>
        <w:rPr>
          <w:rFonts w:ascii="楷体_GB2312" w:eastAsia="楷体_GB2312" w:hAnsi="宋体" w:hint="eastAsia"/>
          <w:sz w:val="24"/>
        </w:rPr>
        <w:t>日</w:t>
      </w:r>
      <w:r>
        <w:rPr>
          <w:rFonts w:ascii="楷体_GB2312" w:eastAsia="楷体_GB2312" w:hAnsi="宋体" w:hint="eastAsia"/>
          <w:sz w:val="24"/>
        </w:rPr>
        <w:t xml:space="preserve">      </w:t>
      </w:r>
      <w:bookmarkStart w:id="0" w:name="_GoBack"/>
      <w:bookmarkEnd w:id="0"/>
    </w:p>
    <w:sectPr w:rsidR="004E78F1" w:rsidRPr="00465D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1575" w:rsidRDefault="00CC1575" w:rsidP="00465D2F">
      <w:r>
        <w:separator/>
      </w:r>
    </w:p>
  </w:endnote>
  <w:endnote w:type="continuationSeparator" w:id="0">
    <w:p w:rsidR="00CC1575" w:rsidRDefault="00CC1575" w:rsidP="00465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1575" w:rsidRDefault="00CC1575" w:rsidP="00465D2F">
      <w:r>
        <w:separator/>
      </w:r>
    </w:p>
  </w:footnote>
  <w:footnote w:type="continuationSeparator" w:id="0">
    <w:p w:rsidR="00CC1575" w:rsidRDefault="00CC1575" w:rsidP="00465D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A52AD"/>
    <w:rsid w:val="00307583"/>
    <w:rsid w:val="003E4253"/>
    <w:rsid w:val="004029DF"/>
    <w:rsid w:val="00465D2F"/>
    <w:rsid w:val="004E78F1"/>
    <w:rsid w:val="005566A8"/>
    <w:rsid w:val="005670EA"/>
    <w:rsid w:val="00757E31"/>
    <w:rsid w:val="00953ACB"/>
    <w:rsid w:val="00A353E1"/>
    <w:rsid w:val="00AB565F"/>
    <w:rsid w:val="00B657E1"/>
    <w:rsid w:val="00CC1575"/>
    <w:rsid w:val="00D364E3"/>
    <w:rsid w:val="00DC44E6"/>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275BB3"/>
  <w15:docId w15:val="{AD74F7A7-EDBE-47F0-966B-FC1EEF676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A7ABE-7A23-405D-B78B-60DCE281A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189</Words>
  <Characters>1078</Characters>
  <Application>Microsoft Office Word</Application>
  <DocSecurity>0</DocSecurity>
  <Lines>8</Lines>
  <Paragraphs>2</Paragraphs>
  <ScaleCrop>false</ScaleCrop>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11</cp:revision>
  <dcterms:created xsi:type="dcterms:W3CDTF">2021-11-30T06:02:00Z</dcterms:created>
  <dcterms:modified xsi:type="dcterms:W3CDTF">2025-09-25T03:32:00Z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y fmtid="{D5CDD505-2E9C-101B-9397-08002B2CF9AE}" pid="4" name="_AdHocReviewCycleID">
    <vt:i4>985321351</vt:i4>
  </property>
  <property fmtid="{D5CDD505-2E9C-101B-9397-08002B2CF9AE}" pid="5" name="_NewReviewCycle">
    <vt:lpwstr/>
  </property>
  <property fmtid="{D5CDD505-2E9C-101B-9397-08002B2CF9AE}" pid="6" name="_EmailSubject">
    <vt:lpwstr>资产包业务部公告刊登申请-公开转让方式处置建行广分远东工业6户不良资产包远东工业单户债权项目</vt:lpwstr>
  </property>
  <property fmtid="{D5CDD505-2E9C-101B-9397-08002B2CF9AE}" pid="7" name="_AuthorEmail">
    <vt:lpwstr>guan.yicong@yuexiu-finance.com</vt:lpwstr>
  </property>
  <property fmtid="{D5CDD505-2E9C-101B-9397-08002B2CF9AE}" pid="8" name="_AuthorEmailDisplayName">
    <vt:lpwstr>关毅聪</vt:lpwstr>
  </property>
  <property fmtid="{D5CDD505-2E9C-101B-9397-08002B2CF9AE}" pid="9" name="_ReviewingToolsShownOnce">
    <vt:lpwstr/>
  </property>
</Properties>
</file>